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72005" w14:textId="7B14FEC8" w:rsidR="003A1E41" w:rsidRPr="00962828" w:rsidRDefault="00587AA6" w:rsidP="00907285">
      <w:pPr>
        <w:spacing w:after="160" w:line="259" w:lineRule="auto"/>
        <w:rPr>
          <w:rFonts w:eastAsiaTheme="minorHAnsi"/>
          <w:b/>
          <w:sz w:val="28"/>
          <w:szCs w:val="28"/>
        </w:rPr>
      </w:pPr>
      <w:r>
        <w:rPr>
          <w:rFonts w:eastAsiaTheme="minorHAnsi"/>
          <w:b/>
          <w:noProof/>
          <w:sz w:val="28"/>
          <w:szCs w:val="28"/>
        </w:rPr>
        <w:drawing>
          <wp:inline distT="0" distB="0" distL="0" distR="0" wp14:anchorId="76DE113D" wp14:editId="4AC84F2C">
            <wp:extent cx="552450" cy="629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J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9512" cy="637633"/>
                    </a:xfrm>
                    <a:prstGeom prst="rect">
                      <a:avLst/>
                    </a:prstGeom>
                  </pic:spPr>
                </pic:pic>
              </a:graphicData>
            </a:graphic>
          </wp:inline>
        </w:drawing>
      </w:r>
      <w:r w:rsidR="00D414F6">
        <w:rPr>
          <w:rFonts w:eastAsiaTheme="minorHAnsi"/>
          <w:b/>
          <w:sz w:val="28"/>
          <w:szCs w:val="28"/>
        </w:rPr>
        <w:t xml:space="preserve">  </w:t>
      </w:r>
      <w:r w:rsidR="00F9422C">
        <w:rPr>
          <w:rFonts w:eastAsiaTheme="minorHAnsi"/>
          <w:b/>
          <w:sz w:val="28"/>
          <w:szCs w:val="28"/>
        </w:rPr>
        <w:t xml:space="preserve">       </w:t>
      </w:r>
      <w:r>
        <w:rPr>
          <w:rFonts w:eastAsiaTheme="minorHAnsi"/>
          <w:b/>
          <w:sz w:val="28"/>
          <w:szCs w:val="28"/>
        </w:rPr>
        <w:t>20</w:t>
      </w:r>
      <w:r w:rsidR="00C069CD">
        <w:rPr>
          <w:rFonts w:eastAsiaTheme="minorHAnsi"/>
          <w:b/>
          <w:sz w:val="28"/>
          <w:szCs w:val="28"/>
        </w:rPr>
        <w:t>25</w:t>
      </w:r>
      <w:r>
        <w:rPr>
          <w:rFonts w:eastAsiaTheme="minorHAnsi"/>
          <w:b/>
          <w:sz w:val="28"/>
          <w:szCs w:val="28"/>
        </w:rPr>
        <w:t>-</w:t>
      </w:r>
      <w:r w:rsidR="00C069CD">
        <w:rPr>
          <w:rFonts w:eastAsiaTheme="minorHAnsi"/>
          <w:b/>
          <w:sz w:val="28"/>
          <w:szCs w:val="28"/>
        </w:rPr>
        <w:t>2026</w:t>
      </w:r>
      <w:r>
        <w:rPr>
          <w:rFonts w:eastAsiaTheme="minorHAnsi"/>
          <w:b/>
          <w:sz w:val="28"/>
          <w:szCs w:val="28"/>
        </w:rPr>
        <w:t xml:space="preserve"> </w:t>
      </w:r>
      <w:r w:rsidR="00F36BFB" w:rsidRPr="00962828">
        <w:rPr>
          <w:rFonts w:eastAsiaTheme="minorHAnsi"/>
          <w:b/>
          <w:sz w:val="28"/>
          <w:szCs w:val="28"/>
        </w:rPr>
        <w:t xml:space="preserve">St. </w:t>
      </w:r>
      <w:r w:rsidR="003A1E41" w:rsidRPr="00962828">
        <w:rPr>
          <w:rFonts w:eastAsiaTheme="minorHAnsi"/>
          <w:b/>
          <w:sz w:val="28"/>
          <w:szCs w:val="28"/>
        </w:rPr>
        <w:t>John the Baptist Tuition Assistance Fund</w:t>
      </w:r>
    </w:p>
    <w:p w14:paraId="0FE43BE8" w14:textId="77777777" w:rsidR="00305897" w:rsidRPr="00391BD8" w:rsidRDefault="00305897" w:rsidP="005A50DA">
      <w:pPr>
        <w:rPr>
          <w:rFonts w:eastAsiaTheme="minorHAnsi"/>
        </w:rPr>
      </w:pPr>
      <w:r w:rsidRPr="00391BD8">
        <w:rPr>
          <w:rFonts w:eastAsiaTheme="minorHAnsi"/>
        </w:rPr>
        <w:t>The St. John the Baptist Tuitio</w:t>
      </w:r>
      <w:r w:rsidR="006845AF" w:rsidRPr="00391BD8">
        <w:rPr>
          <w:rFonts w:eastAsiaTheme="minorHAnsi"/>
        </w:rPr>
        <w:t xml:space="preserve">n Assistance Fund </w:t>
      </w:r>
      <w:r w:rsidR="004E2415" w:rsidRPr="00391BD8">
        <w:rPr>
          <w:rFonts w:eastAsiaTheme="minorHAnsi"/>
        </w:rPr>
        <w:t>was</w:t>
      </w:r>
      <w:r w:rsidR="006845AF" w:rsidRPr="00391BD8">
        <w:rPr>
          <w:rFonts w:eastAsiaTheme="minorHAnsi"/>
        </w:rPr>
        <w:t xml:space="preserve"> designed </w:t>
      </w:r>
      <w:r w:rsidRPr="00391BD8">
        <w:rPr>
          <w:rFonts w:eastAsiaTheme="minorHAnsi"/>
        </w:rPr>
        <w:t xml:space="preserve">to help provide financial support for families who </w:t>
      </w:r>
      <w:r w:rsidR="004E2415" w:rsidRPr="00391BD8">
        <w:rPr>
          <w:rFonts w:eastAsiaTheme="minorHAnsi"/>
        </w:rPr>
        <w:t xml:space="preserve">are </w:t>
      </w:r>
      <w:r w:rsidRPr="00391BD8">
        <w:rPr>
          <w:rFonts w:eastAsiaTheme="minorHAnsi"/>
        </w:rPr>
        <w:t>seek</w:t>
      </w:r>
      <w:r w:rsidR="004E2415" w:rsidRPr="00391BD8">
        <w:rPr>
          <w:rFonts w:eastAsiaTheme="minorHAnsi"/>
        </w:rPr>
        <w:t>ing</w:t>
      </w:r>
      <w:r w:rsidRPr="00391BD8">
        <w:rPr>
          <w:rFonts w:eastAsiaTheme="minorHAnsi"/>
        </w:rPr>
        <w:t xml:space="preserve"> a faith-centered education for their child</w:t>
      </w:r>
      <w:r w:rsidR="006A42CE">
        <w:rPr>
          <w:rFonts w:eastAsiaTheme="minorHAnsi"/>
        </w:rPr>
        <w:t>ren but are unable to cover</w:t>
      </w:r>
      <w:r w:rsidR="00DE15B0">
        <w:rPr>
          <w:rFonts w:eastAsiaTheme="minorHAnsi"/>
        </w:rPr>
        <w:t xml:space="preserve"> their tuition and do not qualify for the Diocesan Good Shepherd Scholarship Fund.</w:t>
      </w:r>
    </w:p>
    <w:p w14:paraId="41DAEFD3" w14:textId="77777777" w:rsidR="001A2E96" w:rsidRPr="00CC1A9F" w:rsidRDefault="001A2E96" w:rsidP="005A50DA">
      <w:pPr>
        <w:rPr>
          <w:rFonts w:eastAsiaTheme="minorHAnsi"/>
          <w:sz w:val="16"/>
          <w:szCs w:val="16"/>
        </w:rPr>
      </w:pPr>
    </w:p>
    <w:p w14:paraId="072F4281" w14:textId="77777777" w:rsidR="00F77B8D" w:rsidRPr="00391BD8" w:rsidRDefault="00305897" w:rsidP="005A50DA">
      <w:pPr>
        <w:rPr>
          <w:rFonts w:eastAsiaTheme="minorHAnsi"/>
          <w:b/>
        </w:rPr>
      </w:pPr>
      <w:r w:rsidRPr="00391BD8">
        <w:rPr>
          <w:rFonts w:eastAsiaTheme="minorHAnsi"/>
          <w:noProof/>
        </w:rPr>
        <mc:AlternateContent>
          <mc:Choice Requires="wps">
            <w:drawing>
              <wp:anchor distT="0" distB="0" distL="114300" distR="114300" simplePos="0" relativeHeight="251659264" behindDoc="0" locked="0" layoutInCell="1" allowOverlap="1" wp14:anchorId="2E8EEF2E" wp14:editId="3C7A718E">
                <wp:simplePos x="0" y="0"/>
                <wp:positionH relativeFrom="margin">
                  <wp:posOffset>352425</wp:posOffset>
                </wp:positionH>
                <wp:positionV relativeFrom="paragraph">
                  <wp:posOffset>5715</wp:posOffset>
                </wp:positionV>
                <wp:extent cx="5095875" cy="9525"/>
                <wp:effectExtent l="19050" t="38100" r="66675" b="104775"/>
                <wp:wrapNone/>
                <wp:docPr id="3" name="Straight Connector 3"/>
                <wp:cNvGraphicFramePr/>
                <a:graphic xmlns:a="http://schemas.openxmlformats.org/drawingml/2006/main">
                  <a:graphicData uri="http://schemas.microsoft.com/office/word/2010/wordprocessingShape">
                    <wps:wsp>
                      <wps:cNvCnPr/>
                      <wps:spPr>
                        <a:xfrm flipV="1">
                          <a:off x="0" y="0"/>
                          <a:ext cx="5095875" cy="9525"/>
                        </a:xfrm>
                        <a:prstGeom prst="line">
                          <a:avLst/>
                        </a:prstGeom>
                        <a:ln>
                          <a:solidFill>
                            <a:schemeClr val="tx1">
                              <a:lumMod val="50000"/>
                              <a:lumOff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5D39C9" id="Straight Connector 3"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27.75pt,.45pt" to="4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" strokecolor="gray [1629]" strokeweight=".5pt">
                <v:stroke joinstyle="miter"/>
                <v:shadow on="t" color="black" opacity="26214f" origin="-.5,-.5" offset=".74836mm,.74836mm"/>
                <w10:wrap anchorx="margin"/>
              </v:line>
            </w:pict>
          </mc:Fallback>
        </mc:AlternateContent>
      </w:r>
    </w:p>
    <w:p w14:paraId="3B1701F7" w14:textId="77777777" w:rsidR="00305897" w:rsidRPr="00391BD8" w:rsidRDefault="00305897" w:rsidP="005A50DA">
      <w:pPr>
        <w:rPr>
          <w:rFonts w:eastAsiaTheme="minorHAnsi"/>
          <w:b/>
        </w:rPr>
      </w:pPr>
      <w:r w:rsidRPr="00391BD8">
        <w:rPr>
          <w:rFonts w:eastAsiaTheme="minorHAnsi"/>
          <w:b/>
        </w:rPr>
        <w:t>Eligibility and Requirements for Funding:</w:t>
      </w:r>
    </w:p>
    <w:p w14:paraId="7CB335EC" w14:textId="77777777" w:rsidR="00305897" w:rsidRPr="00391BD8" w:rsidRDefault="00B506CA" w:rsidP="005A50DA">
      <w:pPr>
        <w:rPr>
          <w:rFonts w:eastAsiaTheme="minorHAnsi"/>
        </w:rPr>
      </w:pPr>
      <w:r w:rsidRPr="00391BD8">
        <w:rPr>
          <w:rFonts w:eastAsiaTheme="minorHAnsi"/>
        </w:rPr>
        <w:t>Families</w:t>
      </w:r>
      <w:r w:rsidR="00305897" w:rsidRPr="00391BD8">
        <w:rPr>
          <w:rFonts w:eastAsiaTheme="minorHAnsi"/>
        </w:rPr>
        <w:t xml:space="preserve"> who are seeking tuition assistance through the StJB Tuition Assistance Fund </w:t>
      </w:r>
      <w:r w:rsidR="00305897" w:rsidRPr="00391BD8">
        <w:rPr>
          <w:rFonts w:eastAsiaTheme="minorHAnsi"/>
          <w:b/>
          <w:u w:val="single"/>
        </w:rPr>
        <w:t>must meet all of the requiremen</w:t>
      </w:r>
      <w:r w:rsidR="00305897" w:rsidRPr="00A076C5">
        <w:rPr>
          <w:rFonts w:eastAsiaTheme="minorHAnsi"/>
          <w:b/>
          <w:u w:val="single"/>
        </w:rPr>
        <w:t>ts</w:t>
      </w:r>
      <w:r w:rsidR="00A076C5" w:rsidRPr="00A076C5">
        <w:rPr>
          <w:rFonts w:eastAsiaTheme="minorHAnsi"/>
          <w:b/>
          <w:u w:val="single"/>
        </w:rPr>
        <w:t xml:space="preserve"> listed below</w:t>
      </w:r>
      <w:r w:rsidR="00305897" w:rsidRPr="00391BD8">
        <w:rPr>
          <w:rFonts w:eastAsiaTheme="minorHAnsi"/>
        </w:rPr>
        <w:t xml:space="preserve"> in order to be considered for funding:</w:t>
      </w:r>
    </w:p>
    <w:p w14:paraId="02288CBC" w14:textId="77777777" w:rsidR="003D7761" w:rsidRPr="005A7B71" w:rsidRDefault="003D7761" w:rsidP="003D7761">
      <w:pPr>
        <w:pStyle w:val="ListParagraph"/>
        <w:numPr>
          <w:ilvl w:val="0"/>
          <w:numId w:val="1"/>
        </w:numPr>
        <w:rPr>
          <w:rFonts w:eastAsiaTheme="minorHAnsi"/>
        </w:rPr>
      </w:pPr>
      <w:r w:rsidRPr="005A7B71">
        <w:rPr>
          <w:rFonts w:eastAsiaTheme="minorHAnsi"/>
        </w:rPr>
        <w:t xml:space="preserve">Families must be </w:t>
      </w:r>
      <w:r w:rsidR="0063229E">
        <w:rPr>
          <w:rFonts w:eastAsiaTheme="minorHAnsi"/>
        </w:rPr>
        <w:t>active parishioners</w:t>
      </w:r>
      <w:r w:rsidRPr="005A7B71">
        <w:rPr>
          <w:rFonts w:eastAsiaTheme="minorHAnsi"/>
        </w:rPr>
        <w:t xml:space="preserve"> of Church of the Holy Spirit.</w:t>
      </w:r>
      <w:r w:rsidRPr="005A7B71">
        <w:t xml:space="preserve"> </w:t>
      </w:r>
    </w:p>
    <w:p w14:paraId="68ABAE49" w14:textId="3F9D46BE" w:rsidR="003D7761" w:rsidRPr="005A7B71" w:rsidRDefault="003D7761" w:rsidP="003D7761">
      <w:pPr>
        <w:pStyle w:val="ListParagraph"/>
        <w:rPr>
          <w:rFonts w:eastAsiaTheme="minorHAnsi"/>
        </w:rPr>
      </w:pPr>
      <w:r w:rsidRPr="005A7B71">
        <w:rPr>
          <w:rFonts w:eastAsiaTheme="minorHAnsi"/>
        </w:rPr>
        <w:t xml:space="preserve">Families must </w:t>
      </w:r>
      <w:r w:rsidR="007F08FA">
        <w:rPr>
          <w:rFonts w:eastAsiaTheme="minorHAnsi"/>
        </w:rPr>
        <w:t>meet the annual minimum tithing requirement for Church of the Holy Spirit.</w:t>
      </w:r>
    </w:p>
    <w:p w14:paraId="1D4A03E3" w14:textId="77777777" w:rsidR="003D7761" w:rsidRPr="00391BD8" w:rsidRDefault="003D7761" w:rsidP="003D7761">
      <w:pPr>
        <w:pStyle w:val="ListParagraph"/>
        <w:spacing w:after="160"/>
        <w:rPr>
          <w:rFonts w:eastAsiaTheme="minorHAnsi"/>
        </w:rPr>
      </w:pPr>
      <w:r w:rsidRPr="00391BD8">
        <w:rPr>
          <w:rFonts w:eastAsiaTheme="minorHAnsi"/>
        </w:rPr>
        <w:t xml:space="preserve">Church of the Holy Spirit </w:t>
      </w:r>
      <w:r>
        <w:rPr>
          <w:rFonts w:eastAsiaTheme="minorHAnsi"/>
        </w:rPr>
        <w:t>must have</w:t>
      </w:r>
      <w:r w:rsidRPr="00391BD8">
        <w:rPr>
          <w:rFonts w:eastAsiaTheme="minorHAnsi"/>
        </w:rPr>
        <w:t xml:space="preserve"> record that families have completed </w:t>
      </w:r>
      <w:r>
        <w:rPr>
          <w:rFonts w:eastAsiaTheme="minorHAnsi"/>
        </w:rPr>
        <w:t>and returned the</w:t>
      </w:r>
      <w:r w:rsidRPr="00391BD8">
        <w:rPr>
          <w:rFonts w:eastAsiaTheme="minorHAnsi"/>
        </w:rPr>
        <w:t xml:space="preserve"> annual</w:t>
      </w:r>
      <w:r>
        <w:rPr>
          <w:rFonts w:eastAsiaTheme="minorHAnsi"/>
        </w:rPr>
        <w:t xml:space="preserve"> Parish</w:t>
      </w:r>
      <w:r w:rsidRPr="00391BD8">
        <w:rPr>
          <w:rFonts w:eastAsiaTheme="minorHAnsi"/>
        </w:rPr>
        <w:t xml:space="preserve"> Stewardship </w:t>
      </w:r>
      <w:r>
        <w:rPr>
          <w:rFonts w:eastAsiaTheme="minorHAnsi"/>
        </w:rPr>
        <w:t>Commitment</w:t>
      </w:r>
      <w:r w:rsidRPr="00391BD8">
        <w:rPr>
          <w:rFonts w:eastAsiaTheme="minorHAnsi"/>
        </w:rPr>
        <w:t xml:space="preserve"> </w:t>
      </w:r>
      <w:r>
        <w:rPr>
          <w:rFonts w:eastAsiaTheme="minorHAnsi"/>
        </w:rPr>
        <w:t>Forms</w:t>
      </w:r>
      <w:r w:rsidRPr="00391BD8">
        <w:rPr>
          <w:rFonts w:eastAsiaTheme="minorHAnsi"/>
        </w:rPr>
        <w:t>.</w:t>
      </w:r>
    </w:p>
    <w:p w14:paraId="3B83CC05" w14:textId="584D6A16" w:rsidR="00305897" w:rsidRPr="00413942" w:rsidRDefault="00E65EE6" w:rsidP="005A50DA">
      <w:pPr>
        <w:pStyle w:val="ListParagraph"/>
        <w:numPr>
          <w:ilvl w:val="0"/>
          <w:numId w:val="1"/>
        </w:numPr>
        <w:rPr>
          <w:rFonts w:eastAsiaTheme="minorHAnsi"/>
          <w:i/>
        </w:rPr>
      </w:pPr>
      <w:r w:rsidRPr="005D7CB8">
        <w:rPr>
          <w:rFonts w:eastAsiaTheme="minorHAnsi"/>
        </w:rPr>
        <w:t xml:space="preserve">Families must meet the requirements </w:t>
      </w:r>
      <w:r w:rsidR="00A1090F" w:rsidRPr="005D7CB8">
        <w:rPr>
          <w:rFonts w:eastAsiaTheme="minorHAnsi"/>
        </w:rPr>
        <w:t xml:space="preserve">on the </w:t>
      </w:r>
      <w:r w:rsidR="007F08FA">
        <w:rPr>
          <w:rFonts w:eastAsiaTheme="minorHAnsi"/>
        </w:rPr>
        <w:t>2025</w:t>
      </w:r>
      <w:r w:rsidR="00A1090F" w:rsidRPr="005D7CB8">
        <w:rPr>
          <w:rFonts w:eastAsiaTheme="minorHAnsi"/>
        </w:rPr>
        <w:t xml:space="preserve"> Federal Poverty level guidelines at the </w:t>
      </w:r>
      <w:r w:rsidR="007F08FA">
        <w:rPr>
          <w:rFonts w:eastAsiaTheme="minorHAnsi"/>
        </w:rPr>
        <w:t>300% level</w:t>
      </w:r>
      <w:r w:rsidR="00A1090F" w:rsidRPr="005D7CB8">
        <w:rPr>
          <w:rFonts w:eastAsiaTheme="minorHAnsi"/>
        </w:rPr>
        <w:t xml:space="preserve">.  </w:t>
      </w:r>
    </w:p>
    <w:p w14:paraId="2CEBA942" w14:textId="1766BF0F" w:rsidR="00413942" w:rsidRDefault="00413942" w:rsidP="00413942">
      <w:pPr>
        <w:rPr>
          <w:rFonts w:eastAsiaTheme="minorHAnsi"/>
          <w:i/>
        </w:rPr>
      </w:pPr>
    </w:p>
    <w:p w14:paraId="5BBC6249" w14:textId="0F85F4C1" w:rsidR="00413942" w:rsidRPr="00413942" w:rsidRDefault="00413942" w:rsidP="00413942">
      <w:pPr>
        <w:jc w:val="center"/>
        <w:rPr>
          <w:rFonts w:eastAsiaTheme="minorHAnsi"/>
          <w:b/>
        </w:rPr>
      </w:pPr>
      <w:r w:rsidRPr="00413942">
        <w:rPr>
          <w:rFonts w:eastAsiaTheme="minorHAnsi"/>
          <w:b/>
        </w:rPr>
        <w:t>% Poverty Level 2025-2026</w:t>
      </w:r>
    </w:p>
    <w:tbl>
      <w:tblPr>
        <w:tblStyle w:val="TableGrid"/>
        <w:tblW w:w="0" w:type="auto"/>
        <w:tblInd w:w="4037" w:type="dxa"/>
        <w:tblLook w:val="04A0" w:firstRow="1" w:lastRow="0" w:firstColumn="1" w:lastColumn="0" w:noHBand="0" w:noVBand="1"/>
      </w:tblPr>
      <w:tblGrid>
        <w:gridCol w:w="1415"/>
        <w:gridCol w:w="1415"/>
      </w:tblGrid>
      <w:tr w:rsidR="00413942" w14:paraId="7C2DF233" w14:textId="77777777" w:rsidTr="00C87E19">
        <w:trPr>
          <w:trHeight w:val="245"/>
        </w:trPr>
        <w:tc>
          <w:tcPr>
            <w:tcW w:w="1415" w:type="dxa"/>
          </w:tcPr>
          <w:p w14:paraId="4C953DED" w14:textId="6F45B164" w:rsidR="00413942" w:rsidRPr="002263BD" w:rsidRDefault="00413942" w:rsidP="00413942">
            <w:pPr>
              <w:jc w:val="center"/>
              <w:rPr>
                <w:rFonts w:eastAsiaTheme="minorHAnsi"/>
                <w:b/>
              </w:rPr>
            </w:pPr>
            <w:r w:rsidRPr="002263BD">
              <w:rPr>
                <w:rFonts w:eastAsiaTheme="minorHAnsi"/>
                <w:b/>
              </w:rPr>
              <w:t>Family Size</w:t>
            </w:r>
          </w:p>
        </w:tc>
        <w:tc>
          <w:tcPr>
            <w:tcW w:w="1415" w:type="dxa"/>
          </w:tcPr>
          <w:p w14:paraId="147589A3" w14:textId="26A85083" w:rsidR="00413942" w:rsidRPr="002263BD" w:rsidRDefault="00413942" w:rsidP="00413942">
            <w:pPr>
              <w:jc w:val="center"/>
              <w:rPr>
                <w:rFonts w:eastAsiaTheme="minorHAnsi"/>
                <w:b/>
              </w:rPr>
            </w:pPr>
            <w:r w:rsidRPr="002263BD">
              <w:rPr>
                <w:rFonts w:eastAsiaTheme="minorHAnsi"/>
                <w:b/>
              </w:rPr>
              <w:t>300%</w:t>
            </w:r>
          </w:p>
        </w:tc>
      </w:tr>
      <w:tr w:rsidR="00413942" w14:paraId="5F77F7C7" w14:textId="77777777" w:rsidTr="00C87E19">
        <w:trPr>
          <w:trHeight w:val="245"/>
        </w:trPr>
        <w:tc>
          <w:tcPr>
            <w:tcW w:w="1415" w:type="dxa"/>
          </w:tcPr>
          <w:p w14:paraId="2F06FF8E" w14:textId="617321F7" w:rsidR="00413942" w:rsidRPr="00413942" w:rsidRDefault="00C87E19" w:rsidP="002263BD">
            <w:pPr>
              <w:jc w:val="center"/>
              <w:rPr>
                <w:rFonts w:eastAsiaTheme="minorHAnsi"/>
              </w:rPr>
            </w:pPr>
            <w:r>
              <w:rPr>
                <w:rFonts w:eastAsiaTheme="minorHAnsi"/>
              </w:rPr>
              <w:t>2</w:t>
            </w:r>
          </w:p>
        </w:tc>
        <w:tc>
          <w:tcPr>
            <w:tcW w:w="1415" w:type="dxa"/>
          </w:tcPr>
          <w:p w14:paraId="3A86C673" w14:textId="74E1D12E" w:rsidR="00413942" w:rsidRPr="00413942" w:rsidRDefault="002263BD" w:rsidP="002263BD">
            <w:pPr>
              <w:jc w:val="center"/>
              <w:rPr>
                <w:rFonts w:eastAsiaTheme="minorHAnsi"/>
              </w:rPr>
            </w:pPr>
            <w:r>
              <w:rPr>
                <w:rFonts w:eastAsiaTheme="minorHAnsi"/>
              </w:rPr>
              <w:t>$61,320</w:t>
            </w:r>
          </w:p>
        </w:tc>
      </w:tr>
      <w:tr w:rsidR="00413942" w14:paraId="46660B0F" w14:textId="77777777" w:rsidTr="00C87E19">
        <w:trPr>
          <w:trHeight w:val="245"/>
        </w:trPr>
        <w:tc>
          <w:tcPr>
            <w:tcW w:w="1415" w:type="dxa"/>
          </w:tcPr>
          <w:p w14:paraId="50793DA6" w14:textId="18EAE42A" w:rsidR="00413942" w:rsidRPr="00413942" w:rsidRDefault="00C87E19" w:rsidP="002263BD">
            <w:pPr>
              <w:jc w:val="center"/>
              <w:rPr>
                <w:rFonts w:eastAsiaTheme="minorHAnsi"/>
              </w:rPr>
            </w:pPr>
            <w:r>
              <w:rPr>
                <w:rFonts w:eastAsiaTheme="minorHAnsi"/>
              </w:rPr>
              <w:t>3</w:t>
            </w:r>
          </w:p>
        </w:tc>
        <w:tc>
          <w:tcPr>
            <w:tcW w:w="1415" w:type="dxa"/>
          </w:tcPr>
          <w:p w14:paraId="563EE863" w14:textId="7A4B7197" w:rsidR="00413942" w:rsidRPr="00413942" w:rsidRDefault="002263BD" w:rsidP="002263BD">
            <w:pPr>
              <w:jc w:val="center"/>
              <w:rPr>
                <w:rFonts w:eastAsiaTheme="minorHAnsi"/>
              </w:rPr>
            </w:pPr>
            <w:r>
              <w:rPr>
                <w:rFonts w:eastAsiaTheme="minorHAnsi"/>
              </w:rPr>
              <w:t>$77,460</w:t>
            </w:r>
          </w:p>
        </w:tc>
      </w:tr>
      <w:tr w:rsidR="00413942" w14:paraId="566ADD2C" w14:textId="77777777" w:rsidTr="00C87E19">
        <w:trPr>
          <w:trHeight w:val="245"/>
        </w:trPr>
        <w:tc>
          <w:tcPr>
            <w:tcW w:w="1415" w:type="dxa"/>
          </w:tcPr>
          <w:p w14:paraId="162A86BD" w14:textId="063FD429" w:rsidR="00413942" w:rsidRPr="00413942" w:rsidRDefault="00C87E19" w:rsidP="002263BD">
            <w:pPr>
              <w:jc w:val="center"/>
              <w:rPr>
                <w:rFonts w:eastAsiaTheme="minorHAnsi"/>
              </w:rPr>
            </w:pPr>
            <w:r>
              <w:rPr>
                <w:rFonts w:eastAsiaTheme="minorHAnsi"/>
              </w:rPr>
              <w:t>4</w:t>
            </w:r>
          </w:p>
        </w:tc>
        <w:tc>
          <w:tcPr>
            <w:tcW w:w="1415" w:type="dxa"/>
          </w:tcPr>
          <w:p w14:paraId="787FB5B5" w14:textId="55AE0113" w:rsidR="00413942" w:rsidRPr="00413942" w:rsidRDefault="002263BD" w:rsidP="002263BD">
            <w:pPr>
              <w:jc w:val="center"/>
              <w:rPr>
                <w:rFonts w:eastAsiaTheme="minorHAnsi"/>
              </w:rPr>
            </w:pPr>
            <w:r>
              <w:rPr>
                <w:rFonts w:eastAsiaTheme="minorHAnsi"/>
              </w:rPr>
              <w:t>$93,600</w:t>
            </w:r>
          </w:p>
        </w:tc>
      </w:tr>
      <w:tr w:rsidR="00413942" w14:paraId="38D013F9" w14:textId="77777777" w:rsidTr="00C87E19">
        <w:trPr>
          <w:trHeight w:val="245"/>
        </w:trPr>
        <w:tc>
          <w:tcPr>
            <w:tcW w:w="1415" w:type="dxa"/>
          </w:tcPr>
          <w:p w14:paraId="2ACDD4FC" w14:textId="59BAE583" w:rsidR="00413942" w:rsidRPr="00413942" w:rsidRDefault="00C87E19" w:rsidP="002263BD">
            <w:pPr>
              <w:jc w:val="center"/>
              <w:rPr>
                <w:rFonts w:eastAsiaTheme="minorHAnsi"/>
              </w:rPr>
            </w:pPr>
            <w:r>
              <w:rPr>
                <w:rFonts w:eastAsiaTheme="minorHAnsi"/>
              </w:rPr>
              <w:t>5</w:t>
            </w:r>
          </w:p>
        </w:tc>
        <w:tc>
          <w:tcPr>
            <w:tcW w:w="1415" w:type="dxa"/>
          </w:tcPr>
          <w:p w14:paraId="357085F7" w14:textId="406599FF" w:rsidR="00413942" w:rsidRPr="00413942" w:rsidRDefault="002263BD" w:rsidP="002263BD">
            <w:pPr>
              <w:jc w:val="center"/>
              <w:rPr>
                <w:rFonts w:eastAsiaTheme="minorHAnsi"/>
              </w:rPr>
            </w:pPr>
            <w:r>
              <w:rPr>
                <w:rFonts w:eastAsiaTheme="minorHAnsi"/>
              </w:rPr>
              <w:t>$109,740</w:t>
            </w:r>
          </w:p>
        </w:tc>
      </w:tr>
      <w:tr w:rsidR="00413942" w14:paraId="2BB78262" w14:textId="77777777" w:rsidTr="00C87E19">
        <w:trPr>
          <w:trHeight w:val="245"/>
        </w:trPr>
        <w:tc>
          <w:tcPr>
            <w:tcW w:w="1415" w:type="dxa"/>
          </w:tcPr>
          <w:p w14:paraId="3E22FC78" w14:textId="7203AA67" w:rsidR="00413942" w:rsidRPr="00413942" w:rsidRDefault="00C87E19" w:rsidP="002263BD">
            <w:pPr>
              <w:jc w:val="center"/>
              <w:rPr>
                <w:rFonts w:eastAsiaTheme="minorHAnsi"/>
              </w:rPr>
            </w:pPr>
            <w:r>
              <w:rPr>
                <w:rFonts w:eastAsiaTheme="minorHAnsi"/>
              </w:rPr>
              <w:t>6</w:t>
            </w:r>
          </w:p>
        </w:tc>
        <w:tc>
          <w:tcPr>
            <w:tcW w:w="1415" w:type="dxa"/>
          </w:tcPr>
          <w:p w14:paraId="5F3C69E6" w14:textId="198212BA" w:rsidR="00413942" w:rsidRPr="00413942" w:rsidRDefault="002263BD" w:rsidP="002263BD">
            <w:pPr>
              <w:jc w:val="center"/>
              <w:rPr>
                <w:rFonts w:eastAsiaTheme="minorHAnsi"/>
              </w:rPr>
            </w:pPr>
            <w:r>
              <w:rPr>
                <w:rFonts w:eastAsiaTheme="minorHAnsi"/>
              </w:rPr>
              <w:t>$125,880</w:t>
            </w:r>
          </w:p>
        </w:tc>
      </w:tr>
      <w:tr w:rsidR="00413942" w14:paraId="6EB68D89" w14:textId="77777777" w:rsidTr="00C87E19">
        <w:trPr>
          <w:trHeight w:val="245"/>
        </w:trPr>
        <w:tc>
          <w:tcPr>
            <w:tcW w:w="1415" w:type="dxa"/>
          </w:tcPr>
          <w:p w14:paraId="66329403" w14:textId="11AD2D21" w:rsidR="00413942" w:rsidRPr="00413942" w:rsidRDefault="00C87E19" w:rsidP="002263BD">
            <w:pPr>
              <w:jc w:val="center"/>
              <w:rPr>
                <w:rFonts w:eastAsiaTheme="minorHAnsi"/>
              </w:rPr>
            </w:pPr>
            <w:r>
              <w:rPr>
                <w:rFonts w:eastAsiaTheme="minorHAnsi"/>
              </w:rPr>
              <w:t>7</w:t>
            </w:r>
          </w:p>
        </w:tc>
        <w:tc>
          <w:tcPr>
            <w:tcW w:w="1415" w:type="dxa"/>
          </w:tcPr>
          <w:p w14:paraId="3D653532" w14:textId="53D0DFB1" w:rsidR="00413942" w:rsidRPr="00413942" w:rsidRDefault="002263BD" w:rsidP="002263BD">
            <w:pPr>
              <w:jc w:val="center"/>
              <w:rPr>
                <w:rFonts w:eastAsiaTheme="minorHAnsi"/>
              </w:rPr>
            </w:pPr>
            <w:r>
              <w:rPr>
                <w:rFonts w:eastAsiaTheme="minorHAnsi"/>
              </w:rPr>
              <w:t>$142,020</w:t>
            </w:r>
          </w:p>
        </w:tc>
      </w:tr>
      <w:tr w:rsidR="00413942" w14:paraId="60E71456" w14:textId="77777777" w:rsidTr="00C87E19">
        <w:trPr>
          <w:trHeight w:val="245"/>
        </w:trPr>
        <w:tc>
          <w:tcPr>
            <w:tcW w:w="1415" w:type="dxa"/>
          </w:tcPr>
          <w:p w14:paraId="5680F18A" w14:textId="3BA8FA45" w:rsidR="00413942" w:rsidRPr="00413942" w:rsidRDefault="00C87E19" w:rsidP="002263BD">
            <w:pPr>
              <w:jc w:val="center"/>
              <w:rPr>
                <w:rFonts w:eastAsiaTheme="minorHAnsi"/>
              </w:rPr>
            </w:pPr>
            <w:r>
              <w:rPr>
                <w:rFonts w:eastAsiaTheme="minorHAnsi"/>
              </w:rPr>
              <w:t>8</w:t>
            </w:r>
          </w:p>
        </w:tc>
        <w:tc>
          <w:tcPr>
            <w:tcW w:w="1415" w:type="dxa"/>
          </w:tcPr>
          <w:p w14:paraId="2BBF31D2" w14:textId="32A39ABF" w:rsidR="00413942" w:rsidRPr="00413942" w:rsidRDefault="002263BD" w:rsidP="002263BD">
            <w:pPr>
              <w:jc w:val="center"/>
              <w:rPr>
                <w:rFonts w:eastAsiaTheme="minorHAnsi"/>
              </w:rPr>
            </w:pPr>
            <w:r>
              <w:rPr>
                <w:rFonts w:eastAsiaTheme="minorHAnsi"/>
              </w:rPr>
              <w:t>$158,160</w:t>
            </w:r>
          </w:p>
        </w:tc>
      </w:tr>
    </w:tbl>
    <w:p w14:paraId="7B88D5F2" w14:textId="4495B82D" w:rsidR="00413942" w:rsidRPr="00413942" w:rsidRDefault="00413942" w:rsidP="00413942">
      <w:pPr>
        <w:rPr>
          <w:rFonts w:eastAsiaTheme="minorHAnsi"/>
          <w:i/>
        </w:rPr>
      </w:pPr>
      <w:bookmarkStart w:id="0" w:name="_GoBack"/>
      <w:bookmarkEnd w:id="0"/>
    </w:p>
    <w:p w14:paraId="411458EC" w14:textId="1AB8F05C" w:rsidR="00413942" w:rsidRPr="00413942" w:rsidRDefault="00413942" w:rsidP="005A50DA">
      <w:pPr>
        <w:pStyle w:val="ListParagraph"/>
        <w:numPr>
          <w:ilvl w:val="0"/>
          <w:numId w:val="1"/>
        </w:numPr>
        <w:rPr>
          <w:rFonts w:eastAsiaTheme="minorHAnsi"/>
          <w:i/>
        </w:rPr>
      </w:pPr>
      <w:r>
        <w:rPr>
          <w:rFonts w:eastAsiaTheme="minorHAnsi"/>
        </w:rPr>
        <w:t xml:space="preserve">Only students entering grades K-8 are eligible for tuition assistance (preschool students are not eligible). </w:t>
      </w:r>
    </w:p>
    <w:p w14:paraId="43E9B524" w14:textId="603745B8" w:rsidR="00413942" w:rsidRPr="00413942" w:rsidRDefault="00413942" w:rsidP="005A50DA">
      <w:pPr>
        <w:pStyle w:val="ListParagraph"/>
        <w:numPr>
          <w:ilvl w:val="0"/>
          <w:numId w:val="1"/>
        </w:numPr>
        <w:rPr>
          <w:rFonts w:eastAsiaTheme="minorHAnsi"/>
          <w:i/>
        </w:rPr>
      </w:pPr>
      <w:r>
        <w:rPr>
          <w:rFonts w:eastAsiaTheme="minorHAnsi"/>
        </w:rPr>
        <w:t xml:space="preserve">Students must be in good standing with St. John the Baptist. (Refer to the academic requirements, discipline and attendance sections in the student handbook at stjbcatholic.com). </w:t>
      </w:r>
    </w:p>
    <w:p w14:paraId="23432444" w14:textId="5DD2C5FA" w:rsidR="007F08FA" w:rsidRPr="00413942" w:rsidRDefault="00413942" w:rsidP="00F9422C">
      <w:pPr>
        <w:pStyle w:val="ListParagraph"/>
        <w:numPr>
          <w:ilvl w:val="0"/>
          <w:numId w:val="1"/>
        </w:numPr>
        <w:rPr>
          <w:rFonts w:eastAsiaTheme="minorHAnsi"/>
          <w:i/>
        </w:rPr>
      </w:pPr>
      <w:r>
        <w:rPr>
          <w:rFonts w:eastAsiaTheme="minorHAnsi"/>
        </w:rPr>
        <w:t>Families must pay a minimum of 50% per student of the annual total tuition. Tuition assistance of 50% will be awarded.</w:t>
      </w:r>
    </w:p>
    <w:p w14:paraId="65515D4B" w14:textId="77777777" w:rsidR="00413942" w:rsidRDefault="00D67330" w:rsidP="00413942">
      <w:pPr>
        <w:pStyle w:val="ListParagraph"/>
        <w:numPr>
          <w:ilvl w:val="0"/>
          <w:numId w:val="1"/>
        </w:numPr>
        <w:spacing w:after="160"/>
        <w:rPr>
          <w:rFonts w:eastAsiaTheme="minorHAnsi"/>
          <w:i/>
        </w:rPr>
      </w:pPr>
      <w:r w:rsidRPr="00391BD8">
        <w:rPr>
          <w:rFonts w:eastAsiaTheme="minorHAnsi"/>
        </w:rPr>
        <w:t xml:space="preserve">St. John the </w:t>
      </w:r>
      <w:r w:rsidR="00C40939">
        <w:rPr>
          <w:rFonts w:eastAsiaTheme="minorHAnsi"/>
        </w:rPr>
        <w:t>Baptist School must have</w:t>
      </w:r>
      <w:r w:rsidRPr="00391BD8">
        <w:rPr>
          <w:rFonts w:eastAsiaTheme="minorHAnsi"/>
        </w:rPr>
        <w:t xml:space="preserve"> record that families have completed the required </w:t>
      </w:r>
      <w:r w:rsidR="00DE15B0">
        <w:rPr>
          <w:rFonts w:eastAsiaTheme="minorHAnsi"/>
        </w:rPr>
        <w:t xml:space="preserve">annual </w:t>
      </w:r>
      <w:r w:rsidRPr="00391BD8">
        <w:rPr>
          <w:rFonts w:eastAsiaTheme="minorHAnsi"/>
        </w:rPr>
        <w:t>Stewardship hours</w:t>
      </w:r>
      <w:r w:rsidR="00837ADB" w:rsidRPr="00391BD8">
        <w:rPr>
          <w:rFonts w:eastAsiaTheme="minorHAnsi"/>
        </w:rPr>
        <w:t xml:space="preserve"> for the school</w:t>
      </w:r>
      <w:r w:rsidRPr="00391BD8">
        <w:rPr>
          <w:rFonts w:eastAsiaTheme="minorHAnsi"/>
        </w:rPr>
        <w:t xml:space="preserve"> (</w:t>
      </w:r>
      <w:r w:rsidR="00305897" w:rsidRPr="00391BD8">
        <w:rPr>
          <w:rFonts w:eastAsiaTheme="minorHAnsi"/>
          <w:i/>
        </w:rPr>
        <w:t xml:space="preserve">20 hours </w:t>
      </w:r>
      <w:r w:rsidR="00167618" w:rsidRPr="00391BD8">
        <w:rPr>
          <w:rFonts w:eastAsiaTheme="minorHAnsi"/>
          <w:i/>
        </w:rPr>
        <w:t xml:space="preserve">required </w:t>
      </w:r>
      <w:r w:rsidR="00C40939">
        <w:rPr>
          <w:rFonts w:eastAsiaTheme="minorHAnsi"/>
          <w:i/>
        </w:rPr>
        <w:t>each</w:t>
      </w:r>
      <w:r w:rsidR="007D2F88" w:rsidRPr="00391BD8">
        <w:rPr>
          <w:rFonts w:eastAsiaTheme="minorHAnsi"/>
          <w:i/>
        </w:rPr>
        <w:t xml:space="preserve"> school year</w:t>
      </w:r>
      <w:r w:rsidR="00305897" w:rsidRPr="00391BD8">
        <w:rPr>
          <w:rFonts w:eastAsiaTheme="minorHAnsi"/>
          <w:i/>
        </w:rPr>
        <w:t>).</w:t>
      </w:r>
      <w:r w:rsidR="00CF6AD7" w:rsidRPr="00391BD8">
        <w:rPr>
          <w:rFonts w:eastAsiaTheme="minorHAnsi"/>
          <w:i/>
        </w:rPr>
        <w:t xml:space="preserve"> </w:t>
      </w:r>
    </w:p>
    <w:p w14:paraId="7D2D3FDF" w14:textId="362284E7" w:rsidR="00305897" w:rsidRPr="00413942" w:rsidRDefault="00747908" w:rsidP="00413942">
      <w:pPr>
        <w:pStyle w:val="ListParagraph"/>
        <w:spacing w:after="160"/>
        <w:rPr>
          <w:rFonts w:eastAsiaTheme="minorHAnsi"/>
          <w:i/>
        </w:rPr>
      </w:pPr>
      <w:r w:rsidRPr="00391BD8">
        <w:rPr>
          <w:rFonts w:eastAsiaTheme="minorHAnsi"/>
          <w:noProof/>
        </w:rPr>
        <mc:AlternateContent>
          <mc:Choice Requires="wps">
            <w:drawing>
              <wp:anchor distT="0" distB="0" distL="114300" distR="114300" simplePos="0" relativeHeight="251660288" behindDoc="0" locked="0" layoutInCell="1" allowOverlap="1" wp14:anchorId="55FCA77D" wp14:editId="58B24D23">
                <wp:simplePos x="0" y="0"/>
                <wp:positionH relativeFrom="margin">
                  <wp:posOffset>354965</wp:posOffset>
                </wp:positionH>
                <wp:positionV relativeFrom="paragraph">
                  <wp:posOffset>191135</wp:posOffset>
                </wp:positionV>
                <wp:extent cx="5095875" cy="9525"/>
                <wp:effectExtent l="19050" t="38100" r="66675" b="104775"/>
                <wp:wrapNone/>
                <wp:docPr id="4" name="Straight Connector 4"/>
                <wp:cNvGraphicFramePr/>
                <a:graphic xmlns:a="http://schemas.openxmlformats.org/drawingml/2006/main">
                  <a:graphicData uri="http://schemas.microsoft.com/office/word/2010/wordprocessingShape">
                    <wps:wsp>
                      <wps:cNvCnPr/>
                      <wps:spPr>
                        <a:xfrm flipV="1">
                          <a:off x="0" y="0"/>
                          <a:ext cx="5095875" cy="9525"/>
                        </a:xfrm>
                        <a:prstGeom prst="line">
                          <a:avLst/>
                        </a:prstGeom>
                        <a:noFill/>
                        <a:ln w="6350" cap="flat" cmpd="sng" algn="ctr">
                          <a:solidFill>
                            <a:sysClr val="windowText" lastClr="000000">
                              <a:lumMod val="50000"/>
                              <a:lumOff val="50000"/>
                            </a:sysClr>
                          </a:solidFill>
                          <a:prstDash val="solid"/>
                          <a:miter lim="800000"/>
                        </a:ln>
                        <a:effectLst>
                          <a:outerShdw blurRad="50800" dist="38100" dir="2700000" algn="tl" rotWithShape="0">
                            <a:prstClr val="black">
                              <a:alpha val="40000"/>
                            </a:prstClr>
                          </a:outerShdw>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6EA96A" id="Straight Connector 4" o:spid="_x0000_s1026" style="position:absolute;flip:y;z-index:251660288;visibility:visible;mso-wrap-style:square;mso-wrap-distance-left:9pt;mso-wrap-distance-top:0;mso-wrap-distance-right:9pt;mso-wrap-distance-bottom:0;mso-position-horizontal:absolute;mso-position-horizontal-relative:margin;mso-position-vertical:absolute;mso-position-vertical-relative:text" from="27.95pt,15.05pt" to="42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" strokecolor="#7f7f7f" strokeweight=".5pt">
                <v:stroke joinstyle="miter"/>
                <v:shadow on="t" color="black" opacity="26214f" origin="-.5,-.5" offset=".74836mm,.74836mm"/>
                <w10:wrap anchorx="margin"/>
              </v:line>
            </w:pict>
          </mc:Fallback>
        </mc:AlternateContent>
      </w:r>
    </w:p>
    <w:p w14:paraId="4BF851CF" w14:textId="77777777" w:rsidR="00170B57" w:rsidRPr="00CC1A9F" w:rsidRDefault="00170B57" w:rsidP="005A50DA">
      <w:pPr>
        <w:rPr>
          <w:rFonts w:eastAsiaTheme="minorHAnsi"/>
          <w:b/>
          <w:sz w:val="16"/>
          <w:szCs w:val="16"/>
        </w:rPr>
      </w:pPr>
    </w:p>
    <w:p w14:paraId="10675F86" w14:textId="77777777" w:rsidR="00F85F6B" w:rsidRPr="00391BD8" w:rsidRDefault="00305897" w:rsidP="005A50DA">
      <w:pPr>
        <w:rPr>
          <w:rFonts w:eastAsiaTheme="minorHAnsi"/>
          <w:b/>
        </w:rPr>
      </w:pPr>
      <w:r w:rsidRPr="00391BD8">
        <w:rPr>
          <w:rFonts w:eastAsiaTheme="minorHAnsi"/>
          <w:b/>
        </w:rPr>
        <w:t>How to Apply for Funding:</w:t>
      </w:r>
    </w:p>
    <w:p w14:paraId="68C84BAE" w14:textId="58C92483" w:rsidR="00C14CFA" w:rsidRPr="00D63F30" w:rsidRDefault="00735C31" w:rsidP="005A50DA">
      <w:pPr>
        <w:rPr>
          <w:rFonts w:eastAsiaTheme="minorHAnsi"/>
          <w:b/>
        </w:rPr>
      </w:pPr>
      <w:r w:rsidRPr="00391BD8">
        <w:rPr>
          <w:rFonts w:eastAsiaTheme="minorHAnsi"/>
        </w:rPr>
        <w:t xml:space="preserve">Eligible </w:t>
      </w:r>
      <w:r w:rsidR="00825073" w:rsidRPr="00391BD8">
        <w:rPr>
          <w:rFonts w:eastAsiaTheme="minorHAnsi"/>
        </w:rPr>
        <w:t xml:space="preserve">families </w:t>
      </w:r>
      <w:r w:rsidR="004142E6" w:rsidRPr="00391BD8">
        <w:rPr>
          <w:rFonts w:eastAsiaTheme="minorHAnsi"/>
        </w:rPr>
        <w:t xml:space="preserve">seeking tuition assistance must apply online through </w:t>
      </w:r>
      <w:r w:rsidRPr="00391BD8">
        <w:rPr>
          <w:rFonts w:eastAsiaTheme="minorHAnsi"/>
        </w:rPr>
        <w:t>the</w:t>
      </w:r>
      <w:r w:rsidR="004142E6" w:rsidRPr="00391BD8">
        <w:rPr>
          <w:rFonts w:eastAsiaTheme="minorHAnsi"/>
        </w:rPr>
        <w:t xml:space="preserve"> FACTS Management System. To complete an application, go to </w:t>
      </w:r>
      <w:hyperlink r:id="rId9" w:history="1">
        <w:r w:rsidR="00D63F30" w:rsidRPr="00482859">
          <w:rPr>
            <w:rStyle w:val="Hyperlink"/>
            <w:rFonts w:eastAsiaTheme="minorHAnsi"/>
          </w:rPr>
          <w:t>www.goodshepherdscholarship.com</w:t>
        </w:r>
      </w:hyperlink>
      <w:r w:rsidR="00D63F30">
        <w:rPr>
          <w:rFonts w:eastAsiaTheme="minorHAnsi"/>
          <w:u w:val="single"/>
        </w:rPr>
        <w:t xml:space="preserve">. </w:t>
      </w:r>
      <w:r w:rsidR="00D63F30">
        <w:rPr>
          <w:rFonts w:eastAsiaTheme="minorHAnsi"/>
        </w:rPr>
        <w:t>This is the same process as the Diocesan scholarship fund application.  We will be able to assess the level on the FACTS system and determine which scholarship you are eligible to receive.</w:t>
      </w:r>
      <w:r w:rsidR="007F08FA">
        <w:rPr>
          <w:rFonts w:eastAsiaTheme="minorHAnsi"/>
        </w:rPr>
        <w:t xml:space="preserve"> Application process opened January 1, 2025.</w:t>
      </w:r>
    </w:p>
    <w:p w14:paraId="670C2E4C" w14:textId="77777777" w:rsidR="00C6595E" w:rsidRPr="006E6AE4" w:rsidRDefault="00D63F30" w:rsidP="005A50DA">
      <w:pPr>
        <w:rPr>
          <w:rFonts w:eastAsiaTheme="minorHAnsi"/>
          <w:b/>
          <w:sz w:val="16"/>
          <w:szCs w:val="16"/>
        </w:rPr>
      </w:pPr>
      <w:r>
        <w:rPr>
          <w:rFonts w:eastAsiaTheme="minorHAnsi"/>
          <w:b/>
        </w:rPr>
        <w:t xml:space="preserve"> </w:t>
      </w:r>
    </w:p>
    <w:p w14:paraId="5958FC83" w14:textId="64A92F85" w:rsidR="000C11DC" w:rsidRPr="00391BD8" w:rsidRDefault="00305897" w:rsidP="005A50DA">
      <w:pPr>
        <w:rPr>
          <w:rFonts w:eastAsiaTheme="minorHAnsi"/>
        </w:rPr>
      </w:pPr>
      <w:r w:rsidRPr="00391BD8">
        <w:rPr>
          <w:rFonts w:eastAsiaTheme="minorHAnsi"/>
          <w:b/>
        </w:rPr>
        <w:t xml:space="preserve">DEADLINE: </w:t>
      </w:r>
      <w:r w:rsidRPr="00D250EA">
        <w:rPr>
          <w:rFonts w:eastAsiaTheme="minorHAnsi"/>
          <w:b/>
          <w:u w:val="single"/>
        </w:rPr>
        <w:t xml:space="preserve">Online applications must be received by </w:t>
      </w:r>
      <w:r w:rsidR="00D63F30">
        <w:rPr>
          <w:rFonts w:eastAsiaTheme="minorHAnsi"/>
          <w:b/>
          <w:u w:val="single"/>
        </w:rPr>
        <w:t xml:space="preserve">March 31, </w:t>
      </w:r>
      <w:r w:rsidR="007F08FA">
        <w:rPr>
          <w:rFonts w:eastAsiaTheme="minorHAnsi"/>
          <w:b/>
          <w:u w:val="single"/>
        </w:rPr>
        <w:t>2025</w:t>
      </w:r>
      <w:r w:rsidRPr="00391BD8">
        <w:rPr>
          <w:rFonts w:eastAsiaTheme="minorHAnsi"/>
          <w:b/>
        </w:rPr>
        <w:t xml:space="preserve"> </w:t>
      </w:r>
      <w:r w:rsidRPr="00391BD8">
        <w:rPr>
          <w:rFonts w:eastAsiaTheme="minorHAnsi"/>
        </w:rPr>
        <w:t>to be considered for funding.</w:t>
      </w:r>
      <w:r w:rsidR="00E863F5" w:rsidRPr="00391BD8">
        <w:rPr>
          <w:rFonts w:eastAsiaTheme="minorHAnsi"/>
        </w:rPr>
        <w:t xml:space="preserve"> </w:t>
      </w:r>
      <w:r w:rsidR="000C11DC" w:rsidRPr="00391BD8">
        <w:rPr>
          <w:rFonts w:eastAsiaTheme="minorHAnsi"/>
        </w:rPr>
        <w:t xml:space="preserve">Families will be notified of </w:t>
      </w:r>
      <w:r w:rsidR="00BC5BF7">
        <w:rPr>
          <w:rFonts w:eastAsiaTheme="minorHAnsi"/>
        </w:rPr>
        <w:t xml:space="preserve">the local </w:t>
      </w:r>
      <w:r w:rsidR="000C11DC" w:rsidRPr="00391BD8">
        <w:rPr>
          <w:rFonts w:eastAsiaTheme="minorHAnsi"/>
        </w:rPr>
        <w:t>funding acceptance and amount by</w:t>
      </w:r>
      <w:r w:rsidR="00A375FA">
        <w:rPr>
          <w:rFonts w:eastAsiaTheme="minorHAnsi"/>
        </w:rPr>
        <w:t xml:space="preserve"> May</w:t>
      </w:r>
      <w:r w:rsidR="007F08FA">
        <w:rPr>
          <w:rFonts w:eastAsiaTheme="minorHAnsi"/>
        </w:rPr>
        <w:t xml:space="preserve"> 1</w:t>
      </w:r>
      <w:r w:rsidR="000C11DC" w:rsidRPr="00391BD8">
        <w:rPr>
          <w:rFonts w:eastAsiaTheme="minorHAnsi"/>
        </w:rPr>
        <w:t>.</w:t>
      </w:r>
      <w:r w:rsidR="007F08FA">
        <w:rPr>
          <w:rFonts w:eastAsiaTheme="minorHAnsi"/>
        </w:rPr>
        <w:t xml:space="preserve"> 2025.</w:t>
      </w:r>
      <w:r w:rsidR="000C11DC" w:rsidRPr="00391BD8">
        <w:rPr>
          <w:rFonts w:eastAsiaTheme="minorHAnsi"/>
        </w:rPr>
        <w:t xml:space="preserve"> </w:t>
      </w:r>
    </w:p>
    <w:p w14:paraId="45DC24CD" w14:textId="77777777" w:rsidR="001A2E96" w:rsidRPr="00CC1A9F" w:rsidRDefault="001A2E96" w:rsidP="005A50DA">
      <w:pPr>
        <w:rPr>
          <w:rFonts w:eastAsiaTheme="minorHAnsi"/>
          <w:b/>
          <w:sz w:val="16"/>
          <w:szCs w:val="16"/>
        </w:rPr>
      </w:pPr>
    </w:p>
    <w:p w14:paraId="297CA5F0" w14:textId="77777777" w:rsidR="00825073" w:rsidRPr="00391BD8" w:rsidRDefault="00D53D67" w:rsidP="005A50DA">
      <w:pPr>
        <w:rPr>
          <w:rFonts w:eastAsiaTheme="minorHAnsi"/>
          <w:b/>
        </w:rPr>
      </w:pPr>
      <w:r w:rsidRPr="00391BD8">
        <w:rPr>
          <w:rFonts w:eastAsiaTheme="minorHAnsi"/>
          <w:i/>
          <w:noProof/>
        </w:rPr>
        <mc:AlternateContent>
          <mc:Choice Requires="wps">
            <w:drawing>
              <wp:anchor distT="0" distB="0" distL="114300" distR="114300" simplePos="0" relativeHeight="251661312" behindDoc="0" locked="0" layoutInCell="1" allowOverlap="1" wp14:anchorId="4B4612AD" wp14:editId="5A476451">
                <wp:simplePos x="0" y="0"/>
                <wp:positionH relativeFrom="margin">
                  <wp:posOffset>347980</wp:posOffset>
                </wp:positionH>
                <wp:positionV relativeFrom="paragraph">
                  <wp:posOffset>36195</wp:posOffset>
                </wp:positionV>
                <wp:extent cx="5095875" cy="9525"/>
                <wp:effectExtent l="19050" t="38100" r="66675" b="104775"/>
                <wp:wrapNone/>
                <wp:docPr id="2" name="Straight Connector 2"/>
                <wp:cNvGraphicFramePr/>
                <a:graphic xmlns:a="http://schemas.openxmlformats.org/drawingml/2006/main">
                  <a:graphicData uri="http://schemas.microsoft.com/office/word/2010/wordprocessingShape">
                    <wps:wsp>
                      <wps:cNvCnPr/>
                      <wps:spPr>
                        <a:xfrm flipV="1">
                          <a:off x="0" y="0"/>
                          <a:ext cx="5095875" cy="9525"/>
                        </a:xfrm>
                        <a:prstGeom prst="line">
                          <a:avLst/>
                        </a:prstGeom>
                        <a:noFill/>
                        <a:ln w="6350" cap="flat" cmpd="sng" algn="ctr">
                          <a:solidFill>
                            <a:sysClr val="windowText" lastClr="000000">
                              <a:lumMod val="50000"/>
                              <a:lumOff val="50000"/>
                            </a:sysClr>
                          </a:solidFill>
                          <a:prstDash val="solid"/>
                          <a:miter lim="800000"/>
                        </a:ln>
                        <a:effectLst>
                          <a:outerShdw blurRad="50800" dist="38100" dir="2700000" algn="tl" rotWithShape="0">
                            <a:prstClr val="black">
                              <a:alpha val="40000"/>
                            </a:prstClr>
                          </a:outerShdw>
                        </a:effectLst>
                      </wps:spPr>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54D39C" id="Straight Connector 2"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27.4pt,2.85pt" to="428.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" strokecolor="#7f7f7f" strokeweight=".5pt">
                <v:stroke joinstyle="miter"/>
                <v:shadow on="t" color="black" opacity="26214f" origin="-.5,-.5" offset=".74836mm,.74836mm"/>
                <w10:wrap anchorx="margin"/>
              </v:line>
            </w:pict>
          </mc:Fallback>
        </mc:AlternateContent>
      </w:r>
    </w:p>
    <w:p w14:paraId="4AFD6A26" w14:textId="3DB90333" w:rsidR="0044111E" w:rsidRPr="00C87E19" w:rsidRDefault="00305897" w:rsidP="00C87E19">
      <w:pPr>
        <w:spacing w:after="160"/>
        <w:rPr>
          <w:rFonts w:eastAsiaTheme="minorHAnsi"/>
        </w:rPr>
      </w:pPr>
      <w:r w:rsidRPr="00391BD8">
        <w:rPr>
          <w:rFonts w:eastAsiaTheme="minorHAnsi"/>
        </w:rPr>
        <w:t xml:space="preserve">If you have any questions regarding the St. John the </w:t>
      </w:r>
      <w:r w:rsidR="00825073" w:rsidRPr="00391BD8">
        <w:rPr>
          <w:rFonts w:eastAsiaTheme="minorHAnsi"/>
        </w:rPr>
        <w:t>Baptist Tuition Assistance Fund or would</w:t>
      </w:r>
      <w:r w:rsidRPr="00391BD8">
        <w:rPr>
          <w:rFonts w:eastAsiaTheme="minorHAnsi"/>
        </w:rPr>
        <w:t xml:space="preserve"> like more information, please contact </w:t>
      </w:r>
      <w:r w:rsidR="00C87E19">
        <w:rPr>
          <w:rFonts w:eastAsiaTheme="minorHAnsi"/>
        </w:rPr>
        <w:t>the school office</w:t>
      </w:r>
      <w:r w:rsidRPr="00391BD8">
        <w:rPr>
          <w:rFonts w:eastAsiaTheme="minorHAnsi"/>
        </w:rPr>
        <w:t xml:space="preserve"> at 402-296-6230.</w:t>
      </w:r>
    </w:p>
    <w:sectPr w:rsidR="0044111E" w:rsidRPr="00C87E19" w:rsidSect="00F9422C">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84709" w14:textId="77777777" w:rsidR="000938D7" w:rsidRDefault="000938D7" w:rsidP="00500C24">
      <w:r>
        <w:separator/>
      </w:r>
    </w:p>
  </w:endnote>
  <w:endnote w:type="continuationSeparator" w:id="0">
    <w:p w14:paraId="6D670689" w14:textId="77777777" w:rsidR="000938D7" w:rsidRDefault="000938D7" w:rsidP="0050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02AA" w14:textId="77777777" w:rsidR="00500C24" w:rsidRDefault="00500C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A5F7" w14:textId="77777777" w:rsidR="00500C24" w:rsidRDefault="00500C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DBBB" w14:textId="77777777" w:rsidR="00500C24" w:rsidRDefault="0050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438E7" w14:textId="77777777" w:rsidR="000938D7" w:rsidRDefault="000938D7" w:rsidP="00500C24">
      <w:r>
        <w:separator/>
      </w:r>
    </w:p>
  </w:footnote>
  <w:footnote w:type="continuationSeparator" w:id="0">
    <w:p w14:paraId="01E8A644" w14:textId="77777777" w:rsidR="000938D7" w:rsidRDefault="000938D7" w:rsidP="0050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737A2" w14:textId="77777777" w:rsidR="00500C24" w:rsidRDefault="00500C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202A6" w14:textId="77777777" w:rsidR="00500C24" w:rsidRDefault="00500C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FEE46" w14:textId="77777777" w:rsidR="00500C24" w:rsidRDefault="00500C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627A"/>
    <w:multiLevelType w:val="hybridMultilevel"/>
    <w:tmpl w:val="7FC8B5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D4"/>
    <w:rsid w:val="00010093"/>
    <w:rsid w:val="0006264D"/>
    <w:rsid w:val="000938D7"/>
    <w:rsid w:val="000C11DC"/>
    <w:rsid w:val="000C507C"/>
    <w:rsid w:val="000E3545"/>
    <w:rsid w:val="00100AE0"/>
    <w:rsid w:val="00104A85"/>
    <w:rsid w:val="00145B20"/>
    <w:rsid w:val="00150396"/>
    <w:rsid w:val="001519A2"/>
    <w:rsid w:val="00155E8A"/>
    <w:rsid w:val="001578BF"/>
    <w:rsid w:val="00167618"/>
    <w:rsid w:val="00167C2A"/>
    <w:rsid w:val="00170B57"/>
    <w:rsid w:val="0018274E"/>
    <w:rsid w:val="0019344B"/>
    <w:rsid w:val="00196E45"/>
    <w:rsid w:val="001A182F"/>
    <w:rsid w:val="001A2E96"/>
    <w:rsid w:val="001D0A02"/>
    <w:rsid w:val="001D4861"/>
    <w:rsid w:val="001F7104"/>
    <w:rsid w:val="00212645"/>
    <w:rsid w:val="002263BD"/>
    <w:rsid w:val="00230442"/>
    <w:rsid w:val="002409DD"/>
    <w:rsid w:val="00240DD1"/>
    <w:rsid w:val="00241992"/>
    <w:rsid w:val="00242D82"/>
    <w:rsid w:val="00280EED"/>
    <w:rsid w:val="002932DA"/>
    <w:rsid w:val="002B04D2"/>
    <w:rsid w:val="002B5281"/>
    <w:rsid w:val="00301DB2"/>
    <w:rsid w:val="00302FF3"/>
    <w:rsid w:val="00305897"/>
    <w:rsid w:val="00316F15"/>
    <w:rsid w:val="00317760"/>
    <w:rsid w:val="00321EAF"/>
    <w:rsid w:val="003569BF"/>
    <w:rsid w:val="00360972"/>
    <w:rsid w:val="00365D46"/>
    <w:rsid w:val="00373080"/>
    <w:rsid w:val="00376CA7"/>
    <w:rsid w:val="00377671"/>
    <w:rsid w:val="00391BD8"/>
    <w:rsid w:val="00393289"/>
    <w:rsid w:val="003A0274"/>
    <w:rsid w:val="003A1E41"/>
    <w:rsid w:val="003B712C"/>
    <w:rsid w:val="003D0B14"/>
    <w:rsid w:val="003D7761"/>
    <w:rsid w:val="003E2B79"/>
    <w:rsid w:val="00413942"/>
    <w:rsid w:val="004142E6"/>
    <w:rsid w:val="00420477"/>
    <w:rsid w:val="00440AB8"/>
    <w:rsid w:val="0044111E"/>
    <w:rsid w:val="0046236C"/>
    <w:rsid w:val="004673BD"/>
    <w:rsid w:val="004831E9"/>
    <w:rsid w:val="00494021"/>
    <w:rsid w:val="004A0A6A"/>
    <w:rsid w:val="004C6F97"/>
    <w:rsid w:val="004E2415"/>
    <w:rsid w:val="004E2518"/>
    <w:rsid w:val="004E3DA0"/>
    <w:rsid w:val="00500C24"/>
    <w:rsid w:val="0055339E"/>
    <w:rsid w:val="00587AA6"/>
    <w:rsid w:val="00597E2A"/>
    <w:rsid w:val="005A1CA5"/>
    <w:rsid w:val="005A50DA"/>
    <w:rsid w:val="005A7B71"/>
    <w:rsid w:val="005C080E"/>
    <w:rsid w:val="005D4C71"/>
    <w:rsid w:val="005D7CB8"/>
    <w:rsid w:val="005E234D"/>
    <w:rsid w:val="005F3862"/>
    <w:rsid w:val="0061203B"/>
    <w:rsid w:val="00613BE2"/>
    <w:rsid w:val="0061440D"/>
    <w:rsid w:val="0063229E"/>
    <w:rsid w:val="006527A8"/>
    <w:rsid w:val="006633B8"/>
    <w:rsid w:val="00663F60"/>
    <w:rsid w:val="006818EE"/>
    <w:rsid w:val="00681AB6"/>
    <w:rsid w:val="006845AF"/>
    <w:rsid w:val="0069731D"/>
    <w:rsid w:val="00697927"/>
    <w:rsid w:val="006A42CE"/>
    <w:rsid w:val="006E6AE4"/>
    <w:rsid w:val="006F2F31"/>
    <w:rsid w:val="00714EE0"/>
    <w:rsid w:val="00735C31"/>
    <w:rsid w:val="00746025"/>
    <w:rsid w:val="00747908"/>
    <w:rsid w:val="00753532"/>
    <w:rsid w:val="007545AD"/>
    <w:rsid w:val="00764FA5"/>
    <w:rsid w:val="00766745"/>
    <w:rsid w:val="00776564"/>
    <w:rsid w:val="00785AD9"/>
    <w:rsid w:val="00786364"/>
    <w:rsid w:val="007A085C"/>
    <w:rsid w:val="007B144C"/>
    <w:rsid w:val="007D2F88"/>
    <w:rsid w:val="007F08FA"/>
    <w:rsid w:val="00825073"/>
    <w:rsid w:val="00837ADB"/>
    <w:rsid w:val="00871F4B"/>
    <w:rsid w:val="00876399"/>
    <w:rsid w:val="008847F4"/>
    <w:rsid w:val="00884FC0"/>
    <w:rsid w:val="008A71C5"/>
    <w:rsid w:val="008D79F4"/>
    <w:rsid w:val="008F5D3E"/>
    <w:rsid w:val="008F6178"/>
    <w:rsid w:val="0090651F"/>
    <w:rsid w:val="00907285"/>
    <w:rsid w:val="00922292"/>
    <w:rsid w:val="00924788"/>
    <w:rsid w:val="009352F4"/>
    <w:rsid w:val="00941834"/>
    <w:rsid w:val="00945A1F"/>
    <w:rsid w:val="00952AF5"/>
    <w:rsid w:val="00962828"/>
    <w:rsid w:val="00971C20"/>
    <w:rsid w:val="0097610B"/>
    <w:rsid w:val="00981050"/>
    <w:rsid w:val="009A3C05"/>
    <w:rsid w:val="009A43FE"/>
    <w:rsid w:val="009C4ABC"/>
    <w:rsid w:val="009C4F18"/>
    <w:rsid w:val="009C6B9B"/>
    <w:rsid w:val="009E6D60"/>
    <w:rsid w:val="00A076C5"/>
    <w:rsid w:val="00A1090F"/>
    <w:rsid w:val="00A24E1A"/>
    <w:rsid w:val="00A375FA"/>
    <w:rsid w:val="00A428D4"/>
    <w:rsid w:val="00AC7FBE"/>
    <w:rsid w:val="00AD6D0E"/>
    <w:rsid w:val="00AE18B3"/>
    <w:rsid w:val="00AE1A0D"/>
    <w:rsid w:val="00AF75CE"/>
    <w:rsid w:val="00B506CA"/>
    <w:rsid w:val="00B63D0E"/>
    <w:rsid w:val="00B71EB0"/>
    <w:rsid w:val="00BA61C4"/>
    <w:rsid w:val="00BA6DAE"/>
    <w:rsid w:val="00BA7ED7"/>
    <w:rsid w:val="00BB205F"/>
    <w:rsid w:val="00BB6D24"/>
    <w:rsid w:val="00BC5BF7"/>
    <w:rsid w:val="00BE5291"/>
    <w:rsid w:val="00BF0B6F"/>
    <w:rsid w:val="00C069CD"/>
    <w:rsid w:val="00C14CFA"/>
    <w:rsid w:val="00C3585B"/>
    <w:rsid w:val="00C40939"/>
    <w:rsid w:val="00C6595E"/>
    <w:rsid w:val="00C66A37"/>
    <w:rsid w:val="00C87E19"/>
    <w:rsid w:val="00C91E16"/>
    <w:rsid w:val="00C95DBC"/>
    <w:rsid w:val="00CB387F"/>
    <w:rsid w:val="00CC1A9F"/>
    <w:rsid w:val="00CC2FBF"/>
    <w:rsid w:val="00CE084F"/>
    <w:rsid w:val="00CF6AD7"/>
    <w:rsid w:val="00D03228"/>
    <w:rsid w:val="00D215E4"/>
    <w:rsid w:val="00D23F8A"/>
    <w:rsid w:val="00D250EA"/>
    <w:rsid w:val="00D256D1"/>
    <w:rsid w:val="00D414F6"/>
    <w:rsid w:val="00D53D67"/>
    <w:rsid w:val="00D60D4C"/>
    <w:rsid w:val="00D63F30"/>
    <w:rsid w:val="00D67330"/>
    <w:rsid w:val="00D9022C"/>
    <w:rsid w:val="00D93B3F"/>
    <w:rsid w:val="00DA1F8F"/>
    <w:rsid w:val="00DC423B"/>
    <w:rsid w:val="00DC60DA"/>
    <w:rsid w:val="00DE0F5B"/>
    <w:rsid w:val="00DE15B0"/>
    <w:rsid w:val="00DE4956"/>
    <w:rsid w:val="00E2645D"/>
    <w:rsid w:val="00E5715C"/>
    <w:rsid w:val="00E57BE3"/>
    <w:rsid w:val="00E64AB1"/>
    <w:rsid w:val="00E65EE6"/>
    <w:rsid w:val="00E80566"/>
    <w:rsid w:val="00E863F5"/>
    <w:rsid w:val="00E868E6"/>
    <w:rsid w:val="00EE0AF7"/>
    <w:rsid w:val="00F2081D"/>
    <w:rsid w:val="00F24DAC"/>
    <w:rsid w:val="00F36BFB"/>
    <w:rsid w:val="00F47943"/>
    <w:rsid w:val="00F539A3"/>
    <w:rsid w:val="00F73913"/>
    <w:rsid w:val="00F77B8D"/>
    <w:rsid w:val="00F85F6B"/>
    <w:rsid w:val="00F9422C"/>
    <w:rsid w:val="00FA053B"/>
    <w:rsid w:val="00FC168B"/>
    <w:rsid w:val="00FC5DAB"/>
    <w:rsid w:val="00FC637D"/>
    <w:rsid w:val="00FD0C64"/>
    <w:rsid w:val="00FE2231"/>
    <w:rsid w:val="00FF6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A788"/>
  <w15:chartTrackingRefBased/>
  <w15:docId w15:val="{E9FA1076-9DC0-6D4E-AA08-238F7B9D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8D4"/>
    <w:rPr>
      <w:color w:val="0563C1" w:themeColor="hyperlink"/>
      <w:u w:val="single"/>
    </w:rPr>
  </w:style>
  <w:style w:type="paragraph" w:styleId="ListParagraph">
    <w:name w:val="List Paragraph"/>
    <w:basedOn w:val="Normal"/>
    <w:uiPriority w:val="34"/>
    <w:qFormat/>
    <w:rsid w:val="00A24E1A"/>
    <w:pPr>
      <w:ind w:left="720"/>
      <w:contextualSpacing/>
    </w:pPr>
  </w:style>
  <w:style w:type="paragraph" w:styleId="Header">
    <w:name w:val="header"/>
    <w:basedOn w:val="Normal"/>
    <w:link w:val="HeaderChar"/>
    <w:uiPriority w:val="99"/>
    <w:unhideWhenUsed/>
    <w:rsid w:val="00500C24"/>
    <w:pPr>
      <w:tabs>
        <w:tab w:val="center" w:pos="4680"/>
        <w:tab w:val="right" w:pos="9360"/>
      </w:tabs>
    </w:pPr>
  </w:style>
  <w:style w:type="character" w:customStyle="1" w:styleId="HeaderChar">
    <w:name w:val="Header Char"/>
    <w:basedOn w:val="DefaultParagraphFont"/>
    <w:link w:val="Header"/>
    <w:uiPriority w:val="99"/>
    <w:rsid w:val="00500C24"/>
  </w:style>
  <w:style w:type="paragraph" w:styleId="Footer">
    <w:name w:val="footer"/>
    <w:basedOn w:val="Normal"/>
    <w:link w:val="FooterChar"/>
    <w:uiPriority w:val="99"/>
    <w:unhideWhenUsed/>
    <w:rsid w:val="00500C24"/>
    <w:pPr>
      <w:tabs>
        <w:tab w:val="center" w:pos="4680"/>
        <w:tab w:val="right" w:pos="9360"/>
      </w:tabs>
    </w:pPr>
  </w:style>
  <w:style w:type="character" w:customStyle="1" w:styleId="FooterChar">
    <w:name w:val="Footer Char"/>
    <w:basedOn w:val="DefaultParagraphFont"/>
    <w:link w:val="Footer"/>
    <w:uiPriority w:val="99"/>
    <w:rsid w:val="00500C24"/>
  </w:style>
  <w:style w:type="paragraph" w:styleId="BalloonText">
    <w:name w:val="Balloon Text"/>
    <w:basedOn w:val="Normal"/>
    <w:link w:val="BalloonTextChar"/>
    <w:uiPriority w:val="99"/>
    <w:semiHidden/>
    <w:unhideWhenUsed/>
    <w:rsid w:val="006A4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CE"/>
    <w:rPr>
      <w:rFonts w:ascii="Segoe UI" w:hAnsi="Segoe UI" w:cs="Segoe UI"/>
      <w:sz w:val="18"/>
      <w:szCs w:val="18"/>
    </w:rPr>
  </w:style>
  <w:style w:type="table" w:styleId="TableGrid">
    <w:name w:val="Table Grid"/>
    <w:basedOn w:val="TableNormal"/>
    <w:uiPriority w:val="39"/>
    <w:rsid w:val="0041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odshepherdscholarship.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4F7F-6D15-422B-8463-FC324834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walton</dc:creator>
  <cp:keywords/>
  <dc:description/>
  <cp:lastModifiedBy>Deb Walton</cp:lastModifiedBy>
  <cp:revision>2</cp:revision>
  <cp:lastPrinted>2019-02-11T15:14:00Z</cp:lastPrinted>
  <dcterms:created xsi:type="dcterms:W3CDTF">2025-02-27T16:25:00Z</dcterms:created>
  <dcterms:modified xsi:type="dcterms:W3CDTF">2025-02-27T16:25:00Z</dcterms:modified>
</cp:coreProperties>
</file>