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872" w:rsidRDefault="00E46872" w:rsidP="00E46872">
      <w:pPr>
        <w:jc w:val="center"/>
      </w:pPr>
      <w:r>
        <w:rPr>
          <w:noProof/>
        </w:rPr>
        <w:drawing>
          <wp:inline distT="0" distB="0" distL="0" distR="0">
            <wp:extent cx="784043"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0156" cy="729544"/>
                    </a:xfrm>
                    <a:prstGeom prst="rect">
                      <a:avLst/>
                    </a:prstGeom>
                  </pic:spPr>
                </pic:pic>
              </a:graphicData>
            </a:graphic>
          </wp:inline>
        </w:drawing>
      </w:r>
    </w:p>
    <w:p w:rsidR="00B72CB5" w:rsidRDefault="00E46872" w:rsidP="00E46872">
      <w:pPr>
        <w:jc w:val="center"/>
      </w:pPr>
      <w:r>
        <w:t>St. John the Baptist Catholic School</w:t>
      </w:r>
    </w:p>
    <w:p w:rsidR="00E46872" w:rsidRDefault="00E46872" w:rsidP="00E46872">
      <w:pPr>
        <w:jc w:val="center"/>
      </w:pPr>
      <w:r>
        <w:t>2024-25 Rule 14 Nonpublic Schools Annual Report</w:t>
      </w:r>
    </w:p>
    <w:p w:rsidR="00A87BD5" w:rsidRDefault="00E46872" w:rsidP="00E46872">
      <w:pPr>
        <w:jc w:val="center"/>
      </w:pPr>
      <w:r>
        <w:t>School Administrator Mrs. Teresa Lewandowsk</w:t>
      </w:r>
      <w:r w:rsidR="00A87BD5">
        <w:t>i</w:t>
      </w:r>
    </w:p>
    <w:p w:rsidR="00E46872" w:rsidRDefault="00E46872" w:rsidP="00E46872">
      <w:pPr>
        <w:rPr>
          <w:b/>
          <w:color w:val="FF0000"/>
          <w:u w:val="single"/>
        </w:rPr>
      </w:pPr>
      <w:r w:rsidRPr="00E46872">
        <w:rPr>
          <w:b/>
          <w:color w:val="FF0000"/>
          <w:u w:val="single"/>
        </w:rPr>
        <w:t>School Philosophy</w:t>
      </w:r>
    </w:p>
    <w:p w:rsidR="00E46872" w:rsidRPr="00E46872" w:rsidRDefault="00E46872" w:rsidP="00E46872">
      <w:pPr>
        <w:pStyle w:val="NormalWeb"/>
        <w:shd w:val="clear" w:color="auto" w:fill="FFFFFF"/>
        <w:spacing w:before="0" w:beforeAutospacing="0" w:after="0" w:afterAutospacing="0"/>
        <w:textAlignment w:val="baseline"/>
        <w:rPr>
          <w:rFonts w:asciiTheme="minorHAnsi" w:hAnsiTheme="minorHAnsi" w:cstheme="minorHAnsi"/>
          <w:sz w:val="22"/>
          <w:szCs w:val="22"/>
        </w:rPr>
      </w:pPr>
      <w:r>
        <w:rPr>
          <w:rStyle w:val="Strong"/>
          <w:rFonts w:asciiTheme="minorHAnsi" w:hAnsiTheme="minorHAnsi" w:cstheme="minorHAnsi"/>
          <w:b w:val="0"/>
          <w:bCs w:val="0"/>
          <w:sz w:val="22"/>
          <w:szCs w:val="22"/>
          <w:bdr w:val="none" w:sz="0" w:space="0" w:color="auto" w:frame="1"/>
        </w:rPr>
        <w:t xml:space="preserve">     </w:t>
      </w:r>
      <w:r w:rsidRPr="00E46872">
        <w:rPr>
          <w:rStyle w:val="Strong"/>
          <w:rFonts w:asciiTheme="minorHAnsi" w:hAnsiTheme="minorHAnsi" w:cstheme="minorHAnsi"/>
          <w:b w:val="0"/>
          <w:bCs w:val="0"/>
          <w:sz w:val="22"/>
          <w:szCs w:val="22"/>
          <w:bdr w:val="none" w:sz="0" w:space="0" w:color="auto" w:frame="1"/>
        </w:rPr>
        <w:t>At St. John the Baptist Catholic School, our mission is to educate the whole child.</w:t>
      </w:r>
    </w:p>
    <w:p w:rsidR="00E46872" w:rsidRPr="00E46872" w:rsidRDefault="00E46872" w:rsidP="00E46872">
      <w:pPr>
        <w:pStyle w:val="NormalWeb"/>
        <w:spacing w:before="0" w:beforeAutospacing="0" w:after="0" w:afterAutospacing="0"/>
        <w:textAlignment w:val="baseline"/>
        <w:rPr>
          <w:rFonts w:asciiTheme="minorHAnsi" w:hAnsiTheme="minorHAnsi" w:cstheme="minorHAnsi"/>
          <w:sz w:val="22"/>
          <w:szCs w:val="22"/>
        </w:rPr>
      </w:pPr>
      <w:r w:rsidRPr="00E46872">
        <w:rPr>
          <w:rFonts w:asciiTheme="minorHAnsi" w:hAnsiTheme="minorHAnsi" w:cstheme="minorHAnsi"/>
          <w:sz w:val="22"/>
          <w:szCs w:val="22"/>
        </w:rPr>
        <w:t>Rooted in our Catholic values and committed to academic excellence, St. John the Baptist Catholic School is dedicated to forming the whole child — mind, heart, soul and spirit.</w:t>
      </w:r>
    </w:p>
    <w:p w:rsidR="00E46872" w:rsidRPr="00E46872" w:rsidRDefault="00E46872" w:rsidP="00E46872">
      <w:pPr>
        <w:pStyle w:val="NormalWeb"/>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E46872">
        <w:rPr>
          <w:rFonts w:asciiTheme="minorHAnsi" w:hAnsiTheme="minorHAnsi" w:cstheme="minorHAnsi"/>
          <w:sz w:val="22"/>
          <w:szCs w:val="22"/>
        </w:rPr>
        <w:t>Our educational philosophy is designed to prepare students to succeed in any rigorous high school academic program by providing a firm foundation in knowledge and skills, encouraging a wide variety of intellectual exposure, providing practice and knowledge of good study habits and inspiring creativity and critical analysis in each child.</w:t>
      </w:r>
    </w:p>
    <w:p w:rsidR="00E46872" w:rsidRPr="00E46872" w:rsidRDefault="00E46872" w:rsidP="00E46872">
      <w:pPr>
        <w:pStyle w:val="NormalWeb"/>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E46872">
        <w:rPr>
          <w:rFonts w:asciiTheme="minorHAnsi" w:hAnsiTheme="minorHAnsi" w:cstheme="minorHAnsi"/>
          <w:sz w:val="22"/>
          <w:szCs w:val="22"/>
        </w:rPr>
        <w:t>St. John the Baptist Catholic School offers a rich academic tradition grounded in a Christ-centered, loving environment. With a focus on Catholic sacraments and tradition, our students live out their faith in action through service to others and daily Mass attendance at our parish, the Church of the Holy Spirit.</w:t>
      </w:r>
    </w:p>
    <w:p w:rsidR="00A87BD5" w:rsidRDefault="00A87BD5" w:rsidP="00E46872">
      <w:pPr>
        <w:rPr>
          <w:b/>
          <w:color w:val="FF0000"/>
          <w:u w:val="single"/>
        </w:rPr>
      </w:pPr>
    </w:p>
    <w:p w:rsidR="007E0BEC" w:rsidRDefault="007E0BEC" w:rsidP="00E46872">
      <w:pPr>
        <w:rPr>
          <w:b/>
          <w:color w:val="FF0000"/>
          <w:u w:val="single"/>
        </w:rPr>
      </w:pPr>
      <w:r>
        <w:rPr>
          <w:b/>
          <w:color w:val="FF0000"/>
          <w:u w:val="single"/>
        </w:rPr>
        <w:t>Our School Year Theme</w:t>
      </w:r>
      <w:r w:rsidR="00423A34">
        <w:rPr>
          <w:b/>
          <w:color w:val="FF0000"/>
          <w:u w:val="single"/>
        </w:rPr>
        <w:t xml:space="preserve"> and What Makes </w:t>
      </w:r>
      <w:proofErr w:type="spellStart"/>
      <w:r w:rsidR="00423A34">
        <w:rPr>
          <w:b/>
          <w:color w:val="FF0000"/>
          <w:u w:val="single"/>
        </w:rPr>
        <w:t>StJB</w:t>
      </w:r>
      <w:proofErr w:type="spellEnd"/>
      <w:r w:rsidR="00423A34">
        <w:rPr>
          <w:b/>
          <w:color w:val="FF0000"/>
          <w:u w:val="single"/>
        </w:rPr>
        <w:t xml:space="preserve"> Special</w:t>
      </w:r>
    </w:p>
    <w:p w:rsidR="00834B2B" w:rsidRDefault="00003B01" w:rsidP="00834B2B">
      <w:r>
        <w:rPr>
          <w:color w:val="FF0000"/>
        </w:rPr>
        <w:t xml:space="preserve">    </w:t>
      </w:r>
      <w:r>
        <w:t xml:space="preserve">Each year, St. John the Baptist School operates under a school-year theme. This year’s theme is “Lighting the Way to Christ, Celebrating 140 years of Catholic Education in our Community.”  Our school was established in 1884 by faithful Catholics seeking Catholic education for their children.  We are the only Catholic elementary school in Cass County.  </w:t>
      </w:r>
      <w:r w:rsidR="00834B2B" w:rsidRPr="00423A34">
        <w:t xml:space="preserve">Many students and staff are third or fourth generation members of the St. John the Baptist community.  </w:t>
      </w:r>
    </w:p>
    <w:p w:rsidR="00834B2B" w:rsidRDefault="00003B01" w:rsidP="00E46872">
      <w:r>
        <w:t xml:space="preserve">We offer a high quality, Christ-centered education, at an affordable price.  We focus on community service, student achievement, and the sacraments.  </w:t>
      </w:r>
      <w:proofErr w:type="spellStart"/>
      <w:r>
        <w:t>StJB</w:t>
      </w:r>
      <w:proofErr w:type="spellEnd"/>
      <w:r>
        <w:t xml:space="preserve"> students have been awarded national recognition in National History Day, Woodmen Speech Contest, and </w:t>
      </w:r>
      <w:r w:rsidRPr="00003B01">
        <w:t>poetry and art contests</w:t>
      </w:r>
      <w:r>
        <w:t xml:space="preserve">.  In addition, our students participate in science fair, athletics, band, Art Club, Junior Legion of Mary, </w:t>
      </w:r>
      <w:r w:rsidR="00423A34">
        <w:t xml:space="preserve">Student Council, </w:t>
      </w:r>
      <w:r w:rsidR="002B3699">
        <w:t xml:space="preserve">Fit Club, </w:t>
      </w:r>
      <w:r w:rsidR="00423A34">
        <w:t xml:space="preserve">and Jubilate Choir.     </w:t>
      </w:r>
    </w:p>
    <w:p w:rsidR="00423A34" w:rsidRDefault="00423A34" w:rsidP="00E46872">
      <w:r>
        <w:t xml:space="preserve"> St. John the Baptist School’s history is filled with rich traditions.  Here are a few examples:</w:t>
      </w:r>
    </w:p>
    <w:p w:rsidR="00423A34" w:rsidRDefault="00423A34" w:rsidP="00E46872">
      <w:r>
        <w:tab/>
        <w:t>-In Kindergarten, the annual pot of stone soup has been prepared with the same stone for over 40 years!</w:t>
      </w:r>
    </w:p>
    <w:p w:rsidR="00423A34" w:rsidRDefault="00423A34" w:rsidP="00E46872">
      <w:r>
        <w:tab/>
        <w:t>- Students in k-2</w:t>
      </w:r>
      <w:r w:rsidRPr="00423A34">
        <w:rPr>
          <w:vertAlign w:val="superscript"/>
        </w:rPr>
        <w:t>nd</w:t>
      </w:r>
      <w:r>
        <w:t xml:space="preserve"> grades attend the Omaha Symphony each year.</w:t>
      </w:r>
    </w:p>
    <w:p w:rsidR="00423A34" w:rsidRDefault="00423A34" w:rsidP="00E46872">
      <w:r>
        <w:tab/>
        <w:t>- 5</w:t>
      </w:r>
      <w:r w:rsidRPr="00423A34">
        <w:rPr>
          <w:vertAlign w:val="superscript"/>
        </w:rPr>
        <w:t>th</w:t>
      </w:r>
      <w:r>
        <w:t>-8</w:t>
      </w:r>
      <w:r w:rsidRPr="00423A34">
        <w:rPr>
          <w:vertAlign w:val="superscript"/>
        </w:rPr>
        <w:t>th</w:t>
      </w:r>
      <w:r>
        <w:t xml:space="preserve"> graders compete in a speech contest each spring.  The topics are always related to American History.</w:t>
      </w:r>
      <w:r w:rsidR="00934124">
        <w:t xml:space="preserve">  </w:t>
      </w:r>
    </w:p>
    <w:p w:rsidR="00423A34" w:rsidRDefault="00423A34" w:rsidP="00E46872">
      <w:r>
        <w:tab/>
        <w:t xml:space="preserve"> - 7</w:t>
      </w:r>
      <w:r w:rsidRPr="00423A34">
        <w:rPr>
          <w:vertAlign w:val="superscript"/>
        </w:rPr>
        <w:t>th</w:t>
      </w:r>
      <w:r>
        <w:t xml:space="preserve"> grade students look forward to the fishing trip each spring.</w:t>
      </w:r>
    </w:p>
    <w:p w:rsidR="00423A34" w:rsidRDefault="00423A34" w:rsidP="00E46872">
      <w:r>
        <w:lastRenderedPageBreak/>
        <w:tab/>
        <w:t>- Junior high students visit the Holy Family Shrine and See’s Candy, where they learn about Nebraska ingenuity and entrepreneurship.</w:t>
      </w:r>
    </w:p>
    <w:p w:rsidR="00423A34" w:rsidRDefault="00423A34" w:rsidP="00E46872">
      <w:r>
        <w:tab/>
        <w:t xml:space="preserve">- </w:t>
      </w:r>
      <w:r w:rsidR="005D5F83">
        <w:t xml:space="preserve">Second graders attend the Traditional Latin Mass at St. Cecilia’s in Omaha.  </w:t>
      </w:r>
    </w:p>
    <w:p w:rsidR="005D5F83" w:rsidRDefault="005D5F83" w:rsidP="00E46872">
      <w:r>
        <w:t xml:space="preserve"> </w:t>
      </w:r>
      <w:r>
        <w:tab/>
        <w:t xml:space="preserve"> - </w:t>
      </w:r>
      <w:r w:rsidR="00834B2B">
        <w:t>Catholic School’s Week celebrations; School-wide All Saints Day festivities; Stations of the Cross; food, baby item, animal shelter drives; breakfast cart and Christmas store to support an orphanage in India; Penny Wars to support the Franciscan Sisters of the Sorrowful Mother; Oktoberfest; 8</w:t>
      </w:r>
      <w:r w:rsidR="00834B2B" w:rsidRPr="00834B2B">
        <w:rPr>
          <w:vertAlign w:val="superscript"/>
        </w:rPr>
        <w:t>th</w:t>
      </w:r>
      <w:r w:rsidR="00834B2B">
        <w:t xml:space="preserve"> grade floats are annual winners at the Plattsmouth Harvest Festival; outdoor classroom activities in our garden classroom;</w:t>
      </w:r>
      <w:r w:rsidR="00D942FC">
        <w:t xml:space="preserve"> and many more!</w:t>
      </w:r>
    </w:p>
    <w:p w:rsidR="005D5F83" w:rsidRDefault="005D5F83" w:rsidP="00E46872">
      <w:r>
        <w:t xml:space="preserve">Our staff, which has combined experience of over 200 years, infuses each of these things with our faith, bringing our school-year theme of </w:t>
      </w:r>
      <w:r w:rsidRPr="00F65987">
        <w:rPr>
          <w:i/>
        </w:rPr>
        <w:t>Lighting the Way to Christ</w:t>
      </w:r>
      <w:r>
        <w:t xml:space="preserve"> into reality for our students.</w:t>
      </w:r>
    </w:p>
    <w:p w:rsidR="00D942FC" w:rsidRDefault="00D942FC" w:rsidP="00E46872">
      <w:pPr>
        <w:rPr>
          <w:b/>
          <w:color w:val="FF0000"/>
          <w:u w:val="single"/>
        </w:rPr>
      </w:pPr>
      <w:r w:rsidRPr="00D942FC">
        <w:rPr>
          <w:b/>
          <w:color w:val="FF0000"/>
          <w:u w:val="single"/>
        </w:rPr>
        <w:t>Demographics</w:t>
      </w:r>
    </w:p>
    <w:p w:rsidR="00D942FC" w:rsidRDefault="00D942FC" w:rsidP="00E46872">
      <w:r>
        <w:tab/>
      </w:r>
      <w:r w:rsidR="009A66C4">
        <w:t xml:space="preserve">St. John the Baptist School </w:t>
      </w:r>
      <w:r w:rsidR="009A66C4">
        <w:t xml:space="preserve">is located in a rural, farm-based community in </w:t>
      </w:r>
      <w:r w:rsidR="00285DA4">
        <w:t xml:space="preserve">eastern Nebraska. Plattsmouth is also heavily influenced by military families that serve at Offutt Air Force Base, the home of U.S. </w:t>
      </w:r>
      <w:proofErr w:type="spellStart"/>
      <w:r w:rsidR="00285DA4">
        <w:t>Stratcom</w:t>
      </w:r>
      <w:proofErr w:type="spellEnd"/>
      <w:r w:rsidR="00285DA4">
        <w:t xml:space="preserve"> and the Air Force Weather Agency.  </w:t>
      </w:r>
      <w:r>
        <w:t>The student body is comprised of mostly white, non-Hispanic students</w:t>
      </w:r>
      <w:r w:rsidR="00285DA4">
        <w:t>, with a few students of mixed or Hispanic descent.  Students come from five public school districts: Bellevue Public Schools, Conestoga Public Schools, Omaha Public Schools, Papillion-La Vista Public Schools, and, with the highest percentage, Plattsmouth Community Schools.  There are 63 female and 68 male students in grades pre-K through 8</w:t>
      </w:r>
      <w:r w:rsidR="00285DA4" w:rsidRPr="00285DA4">
        <w:rPr>
          <w:vertAlign w:val="superscript"/>
        </w:rPr>
        <w:t>th</w:t>
      </w:r>
      <w:r w:rsidR="00285DA4">
        <w:t xml:space="preserve"> grade.</w:t>
      </w:r>
    </w:p>
    <w:p w:rsidR="00285DA4" w:rsidRDefault="00285DA4" w:rsidP="00E46872">
      <w:r>
        <w:tab/>
      </w:r>
      <w:r w:rsidR="003000E8">
        <w:t xml:space="preserve">St. John the Baptist employs 9 certified staff members, 7 non-certified para-educators or provisional educators, and various support staff.  The school is administered by a Head Teacher who is currently pursuing administrative endorsement. </w:t>
      </w:r>
    </w:p>
    <w:p w:rsidR="00316396" w:rsidRDefault="00316396" w:rsidP="00E46872">
      <w:pPr>
        <w:rPr>
          <w:b/>
          <w:color w:val="FF0000"/>
          <w:u w:val="single"/>
        </w:rPr>
      </w:pPr>
      <w:r w:rsidRPr="00CE03FC">
        <w:rPr>
          <w:b/>
          <w:color w:val="FF0000"/>
          <w:u w:val="single"/>
        </w:rPr>
        <w:t xml:space="preserve">Student </w:t>
      </w:r>
      <w:r w:rsidR="00CE03FC" w:rsidRPr="00CE03FC">
        <w:rPr>
          <w:b/>
          <w:color w:val="FF0000"/>
          <w:u w:val="single"/>
        </w:rPr>
        <w:t>Performance</w:t>
      </w:r>
    </w:p>
    <w:p w:rsidR="00A87BD5" w:rsidRPr="00A87BD5" w:rsidRDefault="00A87BD5" w:rsidP="00E46872">
      <w:r>
        <w:tab/>
        <w:t xml:space="preserve">Students in grades 3-8 take the Iowa Test of Basic Skills annually in March.  Below are results for the 2024 test date.  Complete composite scores are at, above, or significantly above grade level for all grades.  </w:t>
      </w:r>
    </w:p>
    <w:tbl>
      <w:tblPr>
        <w:tblStyle w:val="TableGrid"/>
        <w:tblW w:w="0" w:type="auto"/>
        <w:tblLook w:val="04A0" w:firstRow="1" w:lastRow="0" w:firstColumn="1" w:lastColumn="0" w:noHBand="0" w:noVBand="1"/>
      </w:tblPr>
      <w:tblGrid>
        <w:gridCol w:w="1482"/>
        <w:gridCol w:w="1160"/>
        <w:gridCol w:w="1128"/>
        <w:gridCol w:w="1081"/>
        <w:gridCol w:w="1086"/>
        <w:gridCol w:w="1116"/>
        <w:gridCol w:w="1120"/>
        <w:gridCol w:w="1177"/>
      </w:tblGrid>
      <w:tr w:rsidR="00EE7B59" w:rsidTr="00A87BD5">
        <w:tc>
          <w:tcPr>
            <w:tcW w:w="1167" w:type="dxa"/>
          </w:tcPr>
          <w:p w:rsidR="00EE7B59" w:rsidRDefault="00285DA4" w:rsidP="00E46872">
            <w:r>
              <w:tab/>
            </w:r>
            <w:r w:rsidR="00C36D4B">
              <w:t>Grade</w:t>
            </w:r>
          </w:p>
        </w:tc>
        <w:tc>
          <w:tcPr>
            <w:tcW w:w="1168" w:type="dxa"/>
          </w:tcPr>
          <w:p w:rsidR="00EE7B59" w:rsidRDefault="00C36D4B" w:rsidP="00E46872">
            <w:r>
              <w:t>Data Type</w:t>
            </w:r>
          </w:p>
        </w:tc>
        <w:tc>
          <w:tcPr>
            <w:tcW w:w="1168" w:type="dxa"/>
          </w:tcPr>
          <w:p w:rsidR="00EE7B59" w:rsidRDefault="00C36D4B" w:rsidP="00E46872">
            <w:r>
              <w:t>Reading</w:t>
            </w:r>
          </w:p>
        </w:tc>
        <w:tc>
          <w:tcPr>
            <w:tcW w:w="1167" w:type="dxa"/>
          </w:tcPr>
          <w:p w:rsidR="00EE7B59" w:rsidRDefault="00C36D4B" w:rsidP="00E46872">
            <w:r>
              <w:t>ELA Total</w:t>
            </w:r>
          </w:p>
        </w:tc>
        <w:tc>
          <w:tcPr>
            <w:tcW w:w="1167" w:type="dxa"/>
          </w:tcPr>
          <w:p w:rsidR="00EE7B59" w:rsidRDefault="00C36D4B" w:rsidP="00E46872">
            <w:r>
              <w:t>Math Total</w:t>
            </w:r>
          </w:p>
        </w:tc>
        <w:tc>
          <w:tcPr>
            <w:tcW w:w="1168" w:type="dxa"/>
          </w:tcPr>
          <w:p w:rsidR="00EE7B59" w:rsidRDefault="00C36D4B" w:rsidP="00E46872">
            <w:r>
              <w:t>Social Studies</w:t>
            </w:r>
          </w:p>
        </w:tc>
        <w:tc>
          <w:tcPr>
            <w:tcW w:w="1168" w:type="dxa"/>
          </w:tcPr>
          <w:p w:rsidR="00EE7B59" w:rsidRDefault="00C36D4B" w:rsidP="00E46872">
            <w:r>
              <w:t>Science</w:t>
            </w:r>
          </w:p>
        </w:tc>
        <w:tc>
          <w:tcPr>
            <w:tcW w:w="1177" w:type="dxa"/>
          </w:tcPr>
          <w:p w:rsidR="00EE7B59" w:rsidRDefault="00C36D4B" w:rsidP="00E46872">
            <w:r>
              <w:t>Complete Composite</w:t>
            </w:r>
          </w:p>
        </w:tc>
      </w:tr>
      <w:tr w:rsidR="00EE7B59" w:rsidTr="00A87BD5">
        <w:tc>
          <w:tcPr>
            <w:tcW w:w="1167" w:type="dxa"/>
          </w:tcPr>
          <w:p w:rsidR="00EE7B59" w:rsidRDefault="00C36D4B" w:rsidP="00E46872">
            <w:r>
              <w:t>3</w:t>
            </w:r>
          </w:p>
        </w:tc>
        <w:tc>
          <w:tcPr>
            <w:tcW w:w="1168" w:type="dxa"/>
          </w:tcPr>
          <w:p w:rsidR="00EE7B59" w:rsidRDefault="00C36D4B" w:rsidP="00E46872">
            <w:r>
              <w:t>Percentile</w:t>
            </w:r>
          </w:p>
        </w:tc>
        <w:tc>
          <w:tcPr>
            <w:tcW w:w="1168" w:type="dxa"/>
          </w:tcPr>
          <w:p w:rsidR="00EE7B59" w:rsidRDefault="00C36D4B" w:rsidP="00E46872">
            <w:r>
              <w:t>40</w:t>
            </w:r>
          </w:p>
        </w:tc>
        <w:tc>
          <w:tcPr>
            <w:tcW w:w="1167" w:type="dxa"/>
          </w:tcPr>
          <w:p w:rsidR="00EE7B59" w:rsidRDefault="00C36D4B" w:rsidP="00E46872">
            <w:r>
              <w:t>49</w:t>
            </w:r>
          </w:p>
        </w:tc>
        <w:tc>
          <w:tcPr>
            <w:tcW w:w="1167" w:type="dxa"/>
          </w:tcPr>
          <w:p w:rsidR="00EE7B59" w:rsidRDefault="00C36D4B" w:rsidP="00E46872">
            <w:r>
              <w:t>52</w:t>
            </w:r>
          </w:p>
        </w:tc>
        <w:tc>
          <w:tcPr>
            <w:tcW w:w="1168" w:type="dxa"/>
          </w:tcPr>
          <w:p w:rsidR="00EE7B59" w:rsidRDefault="00C36D4B" w:rsidP="00E46872">
            <w:r>
              <w:t>57</w:t>
            </w:r>
          </w:p>
        </w:tc>
        <w:tc>
          <w:tcPr>
            <w:tcW w:w="1168" w:type="dxa"/>
          </w:tcPr>
          <w:p w:rsidR="00EE7B59" w:rsidRDefault="00C36D4B" w:rsidP="00E46872">
            <w:r>
              <w:t>47</w:t>
            </w:r>
          </w:p>
        </w:tc>
        <w:tc>
          <w:tcPr>
            <w:tcW w:w="1177" w:type="dxa"/>
          </w:tcPr>
          <w:p w:rsidR="00EE7B59" w:rsidRDefault="00C36D4B" w:rsidP="00E46872">
            <w:r>
              <w:t>49</w:t>
            </w:r>
          </w:p>
        </w:tc>
      </w:tr>
      <w:tr w:rsidR="00EE7B59" w:rsidTr="00A87BD5">
        <w:tc>
          <w:tcPr>
            <w:tcW w:w="1167" w:type="dxa"/>
            <w:shd w:val="clear" w:color="auto" w:fill="FF7C80"/>
          </w:tcPr>
          <w:p w:rsidR="00EE7B59" w:rsidRDefault="00C36D4B" w:rsidP="00E46872">
            <w:r>
              <w:t>3</w:t>
            </w:r>
          </w:p>
        </w:tc>
        <w:tc>
          <w:tcPr>
            <w:tcW w:w="1168" w:type="dxa"/>
            <w:shd w:val="clear" w:color="auto" w:fill="FF7C80"/>
          </w:tcPr>
          <w:p w:rsidR="00EE7B59" w:rsidRDefault="00C36D4B" w:rsidP="00E46872">
            <w:r>
              <w:t>Gr Equiv</w:t>
            </w:r>
          </w:p>
        </w:tc>
        <w:tc>
          <w:tcPr>
            <w:tcW w:w="1168" w:type="dxa"/>
            <w:shd w:val="clear" w:color="auto" w:fill="FF7C80"/>
          </w:tcPr>
          <w:p w:rsidR="00EE7B59" w:rsidRDefault="00C36D4B" w:rsidP="00E46872">
            <w:r>
              <w:t>3.4</w:t>
            </w:r>
          </w:p>
        </w:tc>
        <w:tc>
          <w:tcPr>
            <w:tcW w:w="1167" w:type="dxa"/>
            <w:shd w:val="clear" w:color="auto" w:fill="FF7C80"/>
          </w:tcPr>
          <w:p w:rsidR="00EE7B59" w:rsidRDefault="00C36D4B" w:rsidP="00E46872">
            <w:r>
              <w:t>3.7</w:t>
            </w:r>
          </w:p>
        </w:tc>
        <w:tc>
          <w:tcPr>
            <w:tcW w:w="1167" w:type="dxa"/>
            <w:shd w:val="clear" w:color="auto" w:fill="FF7C80"/>
          </w:tcPr>
          <w:p w:rsidR="00EE7B59" w:rsidRDefault="00C36D4B" w:rsidP="00E46872">
            <w:r>
              <w:t>3.9</w:t>
            </w:r>
          </w:p>
        </w:tc>
        <w:tc>
          <w:tcPr>
            <w:tcW w:w="1168" w:type="dxa"/>
            <w:shd w:val="clear" w:color="auto" w:fill="FF7C80"/>
          </w:tcPr>
          <w:p w:rsidR="00EE7B59" w:rsidRDefault="00C36D4B" w:rsidP="00E46872">
            <w:r>
              <w:t>4.1</w:t>
            </w:r>
          </w:p>
        </w:tc>
        <w:tc>
          <w:tcPr>
            <w:tcW w:w="1168" w:type="dxa"/>
            <w:shd w:val="clear" w:color="auto" w:fill="FF7C80"/>
          </w:tcPr>
          <w:p w:rsidR="00EE7B59" w:rsidRDefault="00C36D4B" w:rsidP="00E46872">
            <w:r>
              <w:t>3.7</w:t>
            </w:r>
          </w:p>
        </w:tc>
        <w:tc>
          <w:tcPr>
            <w:tcW w:w="1177" w:type="dxa"/>
            <w:shd w:val="clear" w:color="auto" w:fill="FF7C80"/>
          </w:tcPr>
          <w:p w:rsidR="00EE7B59" w:rsidRDefault="00C36D4B" w:rsidP="00E46872">
            <w:r>
              <w:t>3.8</w:t>
            </w:r>
          </w:p>
        </w:tc>
      </w:tr>
      <w:tr w:rsidR="00EE7B59" w:rsidTr="00A87BD5">
        <w:tc>
          <w:tcPr>
            <w:tcW w:w="1167" w:type="dxa"/>
          </w:tcPr>
          <w:p w:rsidR="00EE7B59" w:rsidRDefault="00C36D4B" w:rsidP="00E46872">
            <w:r>
              <w:t>4</w:t>
            </w:r>
          </w:p>
        </w:tc>
        <w:tc>
          <w:tcPr>
            <w:tcW w:w="1168" w:type="dxa"/>
          </w:tcPr>
          <w:p w:rsidR="00EE7B59" w:rsidRDefault="00C36D4B" w:rsidP="00E46872">
            <w:r>
              <w:t>Percentile</w:t>
            </w:r>
          </w:p>
        </w:tc>
        <w:tc>
          <w:tcPr>
            <w:tcW w:w="1168" w:type="dxa"/>
          </w:tcPr>
          <w:p w:rsidR="00EE7B59" w:rsidRDefault="00C36D4B" w:rsidP="00E46872">
            <w:r>
              <w:t>49</w:t>
            </w:r>
          </w:p>
        </w:tc>
        <w:tc>
          <w:tcPr>
            <w:tcW w:w="1167" w:type="dxa"/>
          </w:tcPr>
          <w:p w:rsidR="00EE7B59" w:rsidRDefault="00C36D4B" w:rsidP="00E46872">
            <w:r>
              <w:t>60</w:t>
            </w:r>
          </w:p>
        </w:tc>
        <w:tc>
          <w:tcPr>
            <w:tcW w:w="1167" w:type="dxa"/>
          </w:tcPr>
          <w:p w:rsidR="00EE7B59" w:rsidRDefault="00C36D4B" w:rsidP="00E46872">
            <w:r>
              <w:t>59</w:t>
            </w:r>
          </w:p>
        </w:tc>
        <w:tc>
          <w:tcPr>
            <w:tcW w:w="1168" w:type="dxa"/>
          </w:tcPr>
          <w:p w:rsidR="00EE7B59" w:rsidRDefault="00C36D4B" w:rsidP="00E46872">
            <w:r>
              <w:t>63</w:t>
            </w:r>
          </w:p>
        </w:tc>
        <w:tc>
          <w:tcPr>
            <w:tcW w:w="1168" w:type="dxa"/>
          </w:tcPr>
          <w:p w:rsidR="00EE7B59" w:rsidRDefault="00C36D4B" w:rsidP="00E46872">
            <w:r>
              <w:t>65</w:t>
            </w:r>
          </w:p>
        </w:tc>
        <w:tc>
          <w:tcPr>
            <w:tcW w:w="1177" w:type="dxa"/>
          </w:tcPr>
          <w:p w:rsidR="00EE7B59" w:rsidRDefault="00C36D4B" w:rsidP="00E46872">
            <w:r>
              <w:t>59</w:t>
            </w:r>
          </w:p>
        </w:tc>
      </w:tr>
      <w:tr w:rsidR="00EE7B59" w:rsidTr="00A87BD5">
        <w:tc>
          <w:tcPr>
            <w:tcW w:w="1167" w:type="dxa"/>
            <w:shd w:val="clear" w:color="auto" w:fill="FF7C80"/>
          </w:tcPr>
          <w:p w:rsidR="00EE7B59" w:rsidRDefault="00C36D4B" w:rsidP="00E46872">
            <w:r>
              <w:t>4</w:t>
            </w:r>
          </w:p>
        </w:tc>
        <w:tc>
          <w:tcPr>
            <w:tcW w:w="1168" w:type="dxa"/>
            <w:shd w:val="clear" w:color="auto" w:fill="FF7C80"/>
          </w:tcPr>
          <w:p w:rsidR="00EE7B59" w:rsidRDefault="00C36D4B" w:rsidP="00E46872">
            <w:r>
              <w:t>Gr Equiv</w:t>
            </w:r>
          </w:p>
        </w:tc>
        <w:tc>
          <w:tcPr>
            <w:tcW w:w="1168" w:type="dxa"/>
            <w:shd w:val="clear" w:color="auto" w:fill="FF7C80"/>
          </w:tcPr>
          <w:p w:rsidR="00EE7B59" w:rsidRDefault="00C36D4B" w:rsidP="00E46872">
            <w:r>
              <w:t>4.7</w:t>
            </w:r>
          </w:p>
        </w:tc>
        <w:tc>
          <w:tcPr>
            <w:tcW w:w="1167" w:type="dxa"/>
            <w:shd w:val="clear" w:color="auto" w:fill="FF7C80"/>
          </w:tcPr>
          <w:p w:rsidR="00EE7B59" w:rsidRDefault="00C36D4B" w:rsidP="00E46872">
            <w:r>
              <w:t>5.3</w:t>
            </w:r>
          </w:p>
        </w:tc>
        <w:tc>
          <w:tcPr>
            <w:tcW w:w="1167" w:type="dxa"/>
            <w:shd w:val="clear" w:color="auto" w:fill="FF7C80"/>
          </w:tcPr>
          <w:p w:rsidR="00EE7B59" w:rsidRDefault="00C36D4B" w:rsidP="00E46872">
            <w:r>
              <w:t>5.2</w:t>
            </w:r>
          </w:p>
        </w:tc>
        <w:tc>
          <w:tcPr>
            <w:tcW w:w="1168" w:type="dxa"/>
            <w:shd w:val="clear" w:color="auto" w:fill="FF7C80"/>
          </w:tcPr>
          <w:p w:rsidR="00EE7B59" w:rsidRDefault="00C36D4B" w:rsidP="00E46872">
            <w:r>
              <w:t>5.5</w:t>
            </w:r>
          </w:p>
        </w:tc>
        <w:tc>
          <w:tcPr>
            <w:tcW w:w="1168" w:type="dxa"/>
            <w:shd w:val="clear" w:color="auto" w:fill="FF7C80"/>
          </w:tcPr>
          <w:p w:rsidR="00EE7B59" w:rsidRDefault="00C36D4B" w:rsidP="00E46872">
            <w:r>
              <w:t>5.6</w:t>
            </w:r>
          </w:p>
        </w:tc>
        <w:tc>
          <w:tcPr>
            <w:tcW w:w="1177" w:type="dxa"/>
            <w:shd w:val="clear" w:color="auto" w:fill="FF7C80"/>
          </w:tcPr>
          <w:p w:rsidR="00EE7B59" w:rsidRDefault="00C36D4B" w:rsidP="00E46872">
            <w:r>
              <w:t>5.3</w:t>
            </w:r>
          </w:p>
        </w:tc>
      </w:tr>
      <w:tr w:rsidR="00EE7B59" w:rsidTr="00A87BD5">
        <w:tc>
          <w:tcPr>
            <w:tcW w:w="1167" w:type="dxa"/>
          </w:tcPr>
          <w:p w:rsidR="00EE7B59" w:rsidRDefault="00C36D4B" w:rsidP="00E46872">
            <w:r>
              <w:t>5</w:t>
            </w:r>
          </w:p>
        </w:tc>
        <w:tc>
          <w:tcPr>
            <w:tcW w:w="1168" w:type="dxa"/>
          </w:tcPr>
          <w:p w:rsidR="00EE7B59" w:rsidRDefault="00C36D4B" w:rsidP="00E46872">
            <w:r>
              <w:t>Percentile</w:t>
            </w:r>
          </w:p>
        </w:tc>
        <w:tc>
          <w:tcPr>
            <w:tcW w:w="1168" w:type="dxa"/>
          </w:tcPr>
          <w:p w:rsidR="00EE7B59" w:rsidRDefault="00C36D4B" w:rsidP="00E46872">
            <w:r>
              <w:t>30</w:t>
            </w:r>
          </w:p>
        </w:tc>
        <w:tc>
          <w:tcPr>
            <w:tcW w:w="1167" w:type="dxa"/>
          </w:tcPr>
          <w:p w:rsidR="00EE7B59" w:rsidRDefault="00C36D4B" w:rsidP="00E46872">
            <w:r>
              <w:t>45</w:t>
            </w:r>
          </w:p>
        </w:tc>
        <w:tc>
          <w:tcPr>
            <w:tcW w:w="1167" w:type="dxa"/>
          </w:tcPr>
          <w:p w:rsidR="00EE7B59" w:rsidRDefault="00C36D4B" w:rsidP="00E46872">
            <w:r>
              <w:t>45</w:t>
            </w:r>
          </w:p>
        </w:tc>
        <w:tc>
          <w:tcPr>
            <w:tcW w:w="1168" w:type="dxa"/>
          </w:tcPr>
          <w:p w:rsidR="00EE7B59" w:rsidRDefault="00C36D4B" w:rsidP="00E46872">
            <w:r>
              <w:t>58</w:t>
            </w:r>
          </w:p>
        </w:tc>
        <w:tc>
          <w:tcPr>
            <w:tcW w:w="1168" w:type="dxa"/>
          </w:tcPr>
          <w:p w:rsidR="00EE7B59" w:rsidRDefault="00C36D4B" w:rsidP="00E46872">
            <w:r>
              <w:t>60</w:t>
            </w:r>
          </w:p>
        </w:tc>
        <w:tc>
          <w:tcPr>
            <w:tcW w:w="1177" w:type="dxa"/>
          </w:tcPr>
          <w:p w:rsidR="00EE7B59" w:rsidRDefault="00C36D4B" w:rsidP="00E46872">
            <w:r>
              <w:t>49</w:t>
            </w:r>
          </w:p>
        </w:tc>
      </w:tr>
      <w:tr w:rsidR="00EE7B59" w:rsidTr="00A87BD5">
        <w:tc>
          <w:tcPr>
            <w:tcW w:w="1167" w:type="dxa"/>
            <w:shd w:val="clear" w:color="auto" w:fill="FF7C80"/>
          </w:tcPr>
          <w:p w:rsidR="00EE7B59" w:rsidRDefault="00C36D4B" w:rsidP="00E46872">
            <w:r>
              <w:t>5</w:t>
            </w:r>
          </w:p>
        </w:tc>
        <w:tc>
          <w:tcPr>
            <w:tcW w:w="1168" w:type="dxa"/>
            <w:shd w:val="clear" w:color="auto" w:fill="FF7C80"/>
          </w:tcPr>
          <w:p w:rsidR="00EE7B59" w:rsidRDefault="00C36D4B" w:rsidP="00E46872">
            <w:r>
              <w:t>Gr Equiv</w:t>
            </w:r>
          </w:p>
        </w:tc>
        <w:tc>
          <w:tcPr>
            <w:tcW w:w="1168" w:type="dxa"/>
            <w:shd w:val="clear" w:color="auto" w:fill="FF7C80"/>
          </w:tcPr>
          <w:p w:rsidR="00EE7B59" w:rsidRDefault="00C36D4B" w:rsidP="00E46872">
            <w:r>
              <w:t>4.5</w:t>
            </w:r>
          </w:p>
        </w:tc>
        <w:tc>
          <w:tcPr>
            <w:tcW w:w="1167" w:type="dxa"/>
            <w:shd w:val="clear" w:color="auto" w:fill="FF7C80"/>
          </w:tcPr>
          <w:p w:rsidR="00EE7B59" w:rsidRDefault="00C36D4B" w:rsidP="00E46872">
            <w:r>
              <w:t>5.5</w:t>
            </w:r>
          </w:p>
        </w:tc>
        <w:tc>
          <w:tcPr>
            <w:tcW w:w="1167" w:type="dxa"/>
            <w:shd w:val="clear" w:color="auto" w:fill="FF7C80"/>
          </w:tcPr>
          <w:p w:rsidR="00EE7B59" w:rsidRDefault="00C36D4B" w:rsidP="00E46872">
            <w:r>
              <w:t>5.5</w:t>
            </w:r>
          </w:p>
        </w:tc>
        <w:tc>
          <w:tcPr>
            <w:tcW w:w="1168" w:type="dxa"/>
            <w:shd w:val="clear" w:color="auto" w:fill="FF7C80"/>
          </w:tcPr>
          <w:p w:rsidR="00EE7B59" w:rsidRDefault="00C36D4B" w:rsidP="00E46872">
            <w:r>
              <w:t>6.3</w:t>
            </w:r>
          </w:p>
        </w:tc>
        <w:tc>
          <w:tcPr>
            <w:tcW w:w="1168" w:type="dxa"/>
            <w:shd w:val="clear" w:color="auto" w:fill="FF7C80"/>
          </w:tcPr>
          <w:p w:rsidR="00EE7B59" w:rsidRDefault="00C36D4B" w:rsidP="00E46872">
            <w:r>
              <w:t>6.6</w:t>
            </w:r>
          </w:p>
        </w:tc>
        <w:tc>
          <w:tcPr>
            <w:tcW w:w="1177" w:type="dxa"/>
            <w:shd w:val="clear" w:color="auto" w:fill="FF7C80"/>
          </w:tcPr>
          <w:p w:rsidR="00EE7B59" w:rsidRDefault="00C36D4B" w:rsidP="00E46872">
            <w:r>
              <w:t>5.8</w:t>
            </w:r>
          </w:p>
        </w:tc>
      </w:tr>
      <w:tr w:rsidR="00EE7B59" w:rsidTr="00A87BD5">
        <w:tc>
          <w:tcPr>
            <w:tcW w:w="1167" w:type="dxa"/>
          </w:tcPr>
          <w:p w:rsidR="00EE7B59" w:rsidRDefault="00C36D4B" w:rsidP="00E46872">
            <w:r>
              <w:t>6</w:t>
            </w:r>
          </w:p>
        </w:tc>
        <w:tc>
          <w:tcPr>
            <w:tcW w:w="1168" w:type="dxa"/>
          </w:tcPr>
          <w:p w:rsidR="00EE7B59" w:rsidRDefault="00C36D4B" w:rsidP="00E46872">
            <w:r>
              <w:t>Percentile</w:t>
            </w:r>
          </w:p>
        </w:tc>
        <w:tc>
          <w:tcPr>
            <w:tcW w:w="1168" w:type="dxa"/>
          </w:tcPr>
          <w:p w:rsidR="00EE7B59" w:rsidRDefault="00C36D4B" w:rsidP="00E46872">
            <w:r>
              <w:t>55</w:t>
            </w:r>
          </w:p>
        </w:tc>
        <w:tc>
          <w:tcPr>
            <w:tcW w:w="1167" w:type="dxa"/>
          </w:tcPr>
          <w:p w:rsidR="00EE7B59" w:rsidRDefault="00C36D4B" w:rsidP="00E46872">
            <w:r>
              <w:t>65</w:t>
            </w:r>
          </w:p>
        </w:tc>
        <w:tc>
          <w:tcPr>
            <w:tcW w:w="1167" w:type="dxa"/>
          </w:tcPr>
          <w:p w:rsidR="00EE7B59" w:rsidRDefault="00C36D4B" w:rsidP="00E46872">
            <w:r>
              <w:t>53</w:t>
            </w:r>
          </w:p>
        </w:tc>
        <w:tc>
          <w:tcPr>
            <w:tcW w:w="1168" w:type="dxa"/>
          </w:tcPr>
          <w:p w:rsidR="00EE7B59" w:rsidRDefault="00C36D4B" w:rsidP="00E46872">
            <w:r>
              <w:t>72</w:t>
            </w:r>
          </w:p>
        </w:tc>
        <w:tc>
          <w:tcPr>
            <w:tcW w:w="1168" w:type="dxa"/>
          </w:tcPr>
          <w:p w:rsidR="00EE7B59" w:rsidRDefault="00C36D4B" w:rsidP="00E46872">
            <w:r>
              <w:t>65</w:t>
            </w:r>
          </w:p>
        </w:tc>
        <w:tc>
          <w:tcPr>
            <w:tcW w:w="1177" w:type="dxa"/>
          </w:tcPr>
          <w:p w:rsidR="00EE7B59" w:rsidRDefault="00C36D4B" w:rsidP="00E46872">
            <w:r>
              <w:t>61</w:t>
            </w:r>
          </w:p>
        </w:tc>
      </w:tr>
      <w:tr w:rsidR="00EE7B59" w:rsidTr="00A87BD5">
        <w:tc>
          <w:tcPr>
            <w:tcW w:w="1167" w:type="dxa"/>
            <w:shd w:val="clear" w:color="auto" w:fill="FF7C80"/>
          </w:tcPr>
          <w:p w:rsidR="00EE7B59" w:rsidRDefault="00C36D4B" w:rsidP="00E46872">
            <w:r>
              <w:t>6</w:t>
            </w:r>
          </w:p>
        </w:tc>
        <w:tc>
          <w:tcPr>
            <w:tcW w:w="1168" w:type="dxa"/>
            <w:shd w:val="clear" w:color="auto" w:fill="FF7C80"/>
          </w:tcPr>
          <w:p w:rsidR="00EE7B59" w:rsidRDefault="00C36D4B" w:rsidP="00E46872">
            <w:r>
              <w:t>Gr Equiv</w:t>
            </w:r>
          </w:p>
        </w:tc>
        <w:tc>
          <w:tcPr>
            <w:tcW w:w="1168" w:type="dxa"/>
            <w:shd w:val="clear" w:color="auto" w:fill="FF7C80"/>
          </w:tcPr>
          <w:p w:rsidR="00EE7B59" w:rsidRDefault="00C36D4B" w:rsidP="00E46872">
            <w:r>
              <w:t>7.2</w:t>
            </w:r>
          </w:p>
        </w:tc>
        <w:tc>
          <w:tcPr>
            <w:tcW w:w="1167" w:type="dxa"/>
            <w:shd w:val="clear" w:color="auto" w:fill="FF7C80"/>
          </w:tcPr>
          <w:p w:rsidR="00EE7B59" w:rsidRDefault="00C36D4B" w:rsidP="00E46872">
            <w:r>
              <w:t>7.9</w:t>
            </w:r>
          </w:p>
        </w:tc>
        <w:tc>
          <w:tcPr>
            <w:tcW w:w="1167" w:type="dxa"/>
            <w:shd w:val="clear" w:color="auto" w:fill="FF7C80"/>
          </w:tcPr>
          <w:p w:rsidR="00EE7B59" w:rsidRDefault="00C36D4B" w:rsidP="00E46872">
            <w:r>
              <w:t>7.0</w:t>
            </w:r>
          </w:p>
        </w:tc>
        <w:tc>
          <w:tcPr>
            <w:tcW w:w="1168" w:type="dxa"/>
            <w:shd w:val="clear" w:color="auto" w:fill="FF7C80"/>
          </w:tcPr>
          <w:p w:rsidR="00EE7B59" w:rsidRDefault="00C36D4B" w:rsidP="00E46872">
            <w:r>
              <w:t>9.0</w:t>
            </w:r>
          </w:p>
        </w:tc>
        <w:tc>
          <w:tcPr>
            <w:tcW w:w="1168" w:type="dxa"/>
            <w:shd w:val="clear" w:color="auto" w:fill="FF7C80"/>
          </w:tcPr>
          <w:p w:rsidR="00EE7B59" w:rsidRDefault="00C36D4B" w:rsidP="00E46872">
            <w:r>
              <w:t>8.2</w:t>
            </w:r>
          </w:p>
        </w:tc>
        <w:tc>
          <w:tcPr>
            <w:tcW w:w="1177" w:type="dxa"/>
            <w:shd w:val="clear" w:color="auto" w:fill="FF7C80"/>
          </w:tcPr>
          <w:p w:rsidR="00EE7B59" w:rsidRDefault="00C36D4B" w:rsidP="00E46872">
            <w:r>
              <w:t>7.7</w:t>
            </w:r>
          </w:p>
        </w:tc>
      </w:tr>
      <w:tr w:rsidR="00EE7B59" w:rsidTr="00A87BD5">
        <w:tc>
          <w:tcPr>
            <w:tcW w:w="1167" w:type="dxa"/>
          </w:tcPr>
          <w:p w:rsidR="00EE7B59" w:rsidRDefault="00C36D4B" w:rsidP="00E46872">
            <w:r>
              <w:t>7</w:t>
            </w:r>
          </w:p>
        </w:tc>
        <w:tc>
          <w:tcPr>
            <w:tcW w:w="1168" w:type="dxa"/>
          </w:tcPr>
          <w:p w:rsidR="00EE7B59" w:rsidRDefault="00C36D4B" w:rsidP="00E46872">
            <w:r>
              <w:t>Percentile</w:t>
            </w:r>
          </w:p>
        </w:tc>
        <w:tc>
          <w:tcPr>
            <w:tcW w:w="1168" w:type="dxa"/>
          </w:tcPr>
          <w:p w:rsidR="00EE7B59" w:rsidRDefault="00C36D4B" w:rsidP="00E46872">
            <w:r>
              <w:t>68</w:t>
            </w:r>
          </w:p>
        </w:tc>
        <w:tc>
          <w:tcPr>
            <w:tcW w:w="1167" w:type="dxa"/>
          </w:tcPr>
          <w:p w:rsidR="00EE7B59" w:rsidRDefault="00C36D4B" w:rsidP="00E46872">
            <w:r>
              <w:t>78</w:t>
            </w:r>
          </w:p>
        </w:tc>
        <w:tc>
          <w:tcPr>
            <w:tcW w:w="1167" w:type="dxa"/>
          </w:tcPr>
          <w:p w:rsidR="00EE7B59" w:rsidRDefault="00C36D4B" w:rsidP="00E46872">
            <w:r>
              <w:t>69</w:t>
            </w:r>
          </w:p>
        </w:tc>
        <w:tc>
          <w:tcPr>
            <w:tcW w:w="1168" w:type="dxa"/>
          </w:tcPr>
          <w:p w:rsidR="00EE7B59" w:rsidRDefault="00C36D4B" w:rsidP="00E46872">
            <w:r>
              <w:t>80</w:t>
            </w:r>
          </w:p>
        </w:tc>
        <w:tc>
          <w:tcPr>
            <w:tcW w:w="1168" w:type="dxa"/>
          </w:tcPr>
          <w:p w:rsidR="00EE7B59" w:rsidRDefault="00C36D4B" w:rsidP="00E46872">
            <w:r>
              <w:t>85</w:t>
            </w:r>
          </w:p>
        </w:tc>
        <w:tc>
          <w:tcPr>
            <w:tcW w:w="1177" w:type="dxa"/>
          </w:tcPr>
          <w:p w:rsidR="00EE7B59" w:rsidRDefault="00C36D4B" w:rsidP="00E46872">
            <w:r>
              <w:t>76</w:t>
            </w:r>
          </w:p>
        </w:tc>
      </w:tr>
      <w:tr w:rsidR="00EE7B59" w:rsidTr="00A87BD5">
        <w:tc>
          <w:tcPr>
            <w:tcW w:w="1167" w:type="dxa"/>
            <w:shd w:val="clear" w:color="auto" w:fill="FF7C80"/>
          </w:tcPr>
          <w:p w:rsidR="00EE7B59" w:rsidRDefault="00C36D4B" w:rsidP="00E46872">
            <w:r>
              <w:t xml:space="preserve">7 </w:t>
            </w:r>
          </w:p>
        </w:tc>
        <w:tc>
          <w:tcPr>
            <w:tcW w:w="1168" w:type="dxa"/>
            <w:shd w:val="clear" w:color="auto" w:fill="FF7C80"/>
          </w:tcPr>
          <w:p w:rsidR="00EE7B59" w:rsidRDefault="00C36D4B" w:rsidP="00E46872">
            <w:r>
              <w:t>Gr Equiv</w:t>
            </w:r>
          </w:p>
        </w:tc>
        <w:tc>
          <w:tcPr>
            <w:tcW w:w="1168" w:type="dxa"/>
            <w:shd w:val="clear" w:color="auto" w:fill="FF7C80"/>
          </w:tcPr>
          <w:p w:rsidR="00EE7B59" w:rsidRDefault="00C36D4B" w:rsidP="00E46872">
            <w:r>
              <w:t>9.6</w:t>
            </w:r>
          </w:p>
        </w:tc>
        <w:tc>
          <w:tcPr>
            <w:tcW w:w="1167" w:type="dxa"/>
            <w:shd w:val="clear" w:color="auto" w:fill="FF7C80"/>
          </w:tcPr>
          <w:p w:rsidR="00EE7B59" w:rsidRDefault="00C36D4B" w:rsidP="00E46872">
            <w:r>
              <w:t>10.6</w:t>
            </w:r>
          </w:p>
        </w:tc>
        <w:tc>
          <w:tcPr>
            <w:tcW w:w="1167" w:type="dxa"/>
            <w:shd w:val="clear" w:color="auto" w:fill="FF7C80"/>
          </w:tcPr>
          <w:p w:rsidR="00EE7B59" w:rsidRDefault="00C36D4B" w:rsidP="00E46872">
            <w:r>
              <w:t>9.8</w:t>
            </w:r>
          </w:p>
        </w:tc>
        <w:tc>
          <w:tcPr>
            <w:tcW w:w="1168" w:type="dxa"/>
            <w:shd w:val="clear" w:color="auto" w:fill="FF7C80"/>
          </w:tcPr>
          <w:p w:rsidR="00EE7B59" w:rsidRDefault="00C36D4B" w:rsidP="00E46872">
            <w:r>
              <w:t>12.2</w:t>
            </w:r>
          </w:p>
        </w:tc>
        <w:tc>
          <w:tcPr>
            <w:tcW w:w="1168" w:type="dxa"/>
            <w:shd w:val="clear" w:color="auto" w:fill="FF7C80"/>
          </w:tcPr>
          <w:p w:rsidR="00EE7B59" w:rsidRDefault="00C36D4B" w:rsidP="00E46872">
            <w:r>
              <w:t>13+</w:t>
            </w:r>
          </w:p>
        </w:tc>
        <w:tc>
          <w:tcPr>
            <w:tcW w:w="1177" w:type="dxa"/>
            <w:shd w:val="clear" w:color="auto" w:fill="FF7C80"/>
          </w:tcPr>
          <w:p w:rsidR="00EE7B59" w:rsidRDefault="00C36D4B" w:rsidP="00E46872">
            <w:r>
              <w:t>11</w:t>
            </w:r>
          </w:p>
        </w:tc>
      </w:tr>
      <w:tr w:rsidR="00EE7B59" w:rsidTr="00A87BD5">
        <w:tc>
          <w:tcPr>
            <w:tcW w:w="1167" w:type="dxa"/>
          </w:tcPr>
          <w:p w:rsidR="00EE7B59" w:rsidRDefault="00C36D4B" w:rsidP="00E46872">
            <w:r>
              <w:t>8</w:t>
            </w:r>
          </w:p>
        </w:tc>
        <w:tc>
          <w:tcPr>
            <w:tcW w:w="1168" w:type="dxa"/>
          </w:tcPr>
          <w:p w:rsidR="00EE7B59" w:rsidRDefault="00C36D4B" w:rsidP="00E46872">
            <w:r>
              <w:t>Percentile</w:t>
            </w:r>
          </w:p>
        </w:tc>
        <w:tc>
          <w:tcPr>
            <w:tcW w:w="1168" w:type="dxa"/>
          </w:tcPr>
          <w:p w:rsidR="00EE7B59" w:rsidRDefault="00C36D4B" w:rsidP="00E46872">
            <w:r>
              <w:t>57</w:t>
            </w:r>
          </w:p>
        </w:tc>
        <w:tc>
          <w:tcPr>
            <w:tcW w:w="1167" w:type="dxa"/>
          </w:tcPr>
          <w:p w:rsidR="00EE7B59" w:rsidRDefault="00C36D4B" w:rsidP="00E46872">
            <w:r>
              <w:t>59</w:t>
            </w:r>
          </w:p>
        </w:tc>
        <w:tc>
          <w:tcPr>
            <w:tcW w:w="1167" w:type="dxa"/>
          </w:tcPr>
          <w:p w:rsidR="00EE7B59" w:rsidRDefault="00C36D4B" w:rsidP="00E46872">
            <w:r>
              <w:t>69</w:t>
            </w:r>
          </w:p>
        </w:tc>
        <w:tc>
          <w:tcPr>
            <w:tcW w:w="1168" w:type="dxa"/>
          </w:tcPr>
          <w:p w:rsidR="00EE7B59" w:rsidRDefault="00C36D4B" w:rsidP="00E46872">
            <w:r>
              <w:t>74</w:t>
            </w:r>
          </w:p>
        </w:tc>
        <w:tc>
          <w:tcPr>
            <w:tcW w:w="1168" w:type="dxa"/>
          </w:tcPr>
          <w:p w:rsidR="00EE7B59" w:rsidRDefault="00C36D4B" w:rsidP="00E46872">
            <w:r>
              <w:t>69</w:t>
            </w:r>
          </w:p>
        </w:tc>
        <w:tc>
          <w:tcPr>
            <w:tcW w:w="1177" w:type="dxa"/>
          </w:tcPr>
          <w:p w:rsidR="00EE7B59" w:rsidRDefault="00C36D4B" w:rsidP="00E46872">
            <w:r>
              <w:t>66</w:t>
            </w:r>
          </w:p>
        </w:tc>
      </w:tr>
      <w:tr w:rsidR="00EE7B59" w:rsidTr="00A87BD5">
        <w:tc>
          <w:tcPr>
            <w:tcW w:w="1167" w:type="dxa"/>
            <w:shd w:val="clear" w:color="auto" w:fill="FF7C80"/>
          </w:tcPr>
          <w:p w:rsidR="00EE7B59" w:rsidRDefault="00C36D4B" w:rsidP="00E46872">
            <w:r>
              <w:t>8</w:t>
            </w:r>
          </w:p>
        </w:tc>
        <w:tc>
          <w:tcPr>
            <w:tcW w:w="1168" w:type="dxa"/>
            <w:shd w:val="clear" w:color="auto" w:fill="FF7C80"/>
          </w:tcPr>
          <w:p w:rsidR="00EE7B59" w:rsidRDefault="00C36D4B" w:rsidP="00E46872">
            <w:r>
              <w:t>Gr Equiv</w:t>
            </w:r>
          </w:p>
        </w:tc>
        <w:tc>
          <w:tcPr>
            <w:tcW w:w="1168" w:type="dxa"/>
            <w:shd w:val="clear" w:color="auto" w:fill="FF7C80"/>
          </w:tcPr>
          <w:p w:rsidR="00EE7B59" w:rsidRDefault="00C36D4B" w:rsidP="00E46872">
            <w:r>
              <w:t>9.6</w:t>
            </w:r>
          </w:p>
        </w:tc>
        <w:tc>
          <w:tcPr>
            <w:tcW w:w="1167" w:type="dxa"/>
            <w:shd w:val="clear" w:color="auto" w:fill="FF7C80"/>
          </w:tcPr>
          <w:p w:rsidR="00EE7B59" w:rsidRDefault="00C36D4B" w:rsidP="00E46872">
            <w:r>
              <w:t>9.7</w:t>
            </w:r>
          </w:p>
        </w:tc>
        <w:tc>
          <w:tcPr>
            <w:tcW w:w="1167" w:type="dxa"/>
            <w:shd w:val="clear" w:color="auto" w:fill="FF7C80"/>
          </w:tcPr>
          <w:p w:rsidR="00EE7B59" w:rsidRDefault="00C36D4B" w:rsidP="00E46872">
            <w:r>
              <w:t>11.2</w:t>
            </w:r>
          </w:p>
        </w:tc>
        <w:tc>
          <w:tcPr>
            <w:tcW w:w="1168" w:type="dxa"/>
            <w:shd w:val="clear" w:color="auto" w:fill="FF7C80"/>
          </w:tcPr>
          <w:p w:rsidR="00EE7B59" w:rsidRDefault="00C36D4B" w:rsidP="00E46872">
            <w:r>
              <w:t>13+</w:t>
            </w:r>
          </w:p>
        </w:tc>
        <w:tc>
          <w:tcPr>
            <w:tcW w:w="1168" w:type="dxa"/>
            <w:shd w:val="clear" w:color="auto" w:fill="FF7C80"/>
          </w:tcPr>
          <w:p w:rsidR="00EE7B59" w:rsidRDefault="00C36D4B" w:rsidP="00E46872">
            <w:r>
              <w:t>11.8</w:t>
            </w:r>
          </w:p>
        </w:tc>
        <w:tc>
          <w:tcPr>
            <w:tcW w:w="1177" w:type="dxa"/>
            <w:shd w:val="clear" w:color="auto" w:fill="FF7C80"/>
          </w:tcPr>
          <w:p w:rsidR="00EE7B59" w:rsidRDefault="00C36D4B" w:rsidP="00E46872">
            <w:r>
              <w:t>11</w:t>
            </w:r>
          </w:p>
        </w:tc>
      </w:tr>
    </w:tbl>
    <w:p w:rsidR="00285DA4" w:rsidRDefault="00285DA4" w:rsidP="00E46872"/>
    <w:p w:rsidR="00A87BD5" w:rsidRDefault="00A87BD5" w:rsidP="00E46872">
      <w:r>
        <w:lastRenderedPageBreak/>
        <w:tab/>
        <w:t xml:space="preserve">All students in grades K-8 use IXL Diagnostics </w:t>
      </w:r>
      <w:r w:rsidR="00934124">
        <w:t>for ongoing criterion referenced assessment.  Students are to update their diagnostic weekly, thus keeping the teacher informed of student progress in achieving standards in real time.</w:t>
      </w:r>
    </w:p>
    <w:p w:rsidR="002B3699" w:rsidRDefault="002B3699" w:rsidP="00E46872">
      <w:r w:rsidRPr="002B3699">
        <w:rPr>
          <w:b/>
          <w:color w:val="FF0000"/>
          <w:u w:val="single"/>
        </w:rPr>
        <w:t>In Conclusion</w:t>
      </w:r>
    </w:p>
    <w:p w:rsidR="002B3699" w:rsidRPr="002B3699" w:rsidRDefault="002B3699" w:rsidP="00E46872">
      <w:r>
        <w:tab/>
        <w:t xml:space="preserve">St. John the Baptist School, with its long history, rich traditions, and </w:t>
      </w:r>
      <w:bookmarkStart w:id="0" w:name="_GoBack"/>
      <w:bookmarkEnd w:id="0"/>
      <w:r>
        <w:t>high-quality educational opportunities, has been serving the community for 140 years.  Through diligence and faith, may it continue to do so for the next 140 years to come!</w:t>
      </w:r>
    </w:p>
    <w:p w:rsidR="00934124" w:rsidRPr="00D942FC" w:rsidRDefault="00934124" w:rsidP="00E46872"/>
    <w:sectPr w:rsidR="00934124" w:rsidRPr="00D94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72"/>
    <w:rsid w:val="00003B01"/>
    <w:rsid w:val="00285DA4"/>
    <w:rsid w:val="002B3699"/>
    <w:rsid w:val="002E40FD"/>
    <w:rsid w:val="003000E8"/>
    <w:rsid w:val="00316396"/>
    <w:rsid w:val="00423A34"/>
    <w:rsid w:val="005A0E6F"/>
    <w:rsid w:val="005D5F83"/>
    <w:rsid w:val="007E0BEC"/>
    <w:rsid w:val="00834B2B"/>
    <w:rsid w:val="00844D58"/>
    <w:rsid w:val="00934124"/>
    <w:rsid w:val="009A66C4"/>
    <w:rsid w:val="00A87BD5"/>
    <w:rsid w:val="00C36D4B"/>
    <w:rsid w:val="00C43DAE"/>
    <w:rsid w:val="00CE03FC"/>
    <w:rsid w:val="00D942FC"/>
    <w:rsid w:val="00DD2792"/>
    <w:rsid w:val="00E33C9B"/>
    <w:rsid w:val="00E46872"/>
    <w:rsid w:val="00EE7B59"/>
    <w:rsid w:val="00F6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4E1B"/>
  <w15:chartTrackingRefBased/>
  <w15:docId w15:val="{4FA92B8E-3C7D-4A6A-83CC-829DAF8B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8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6872"/>
    <w:rPr>
      <w:b/>
      <w:bCs/>
    </w:rPr>
  </w:style>
  <w:style w:type="table" w:styleId="TableGrid">
    <w:name w:val="Table Grid"/>
    <w:basedOn w:val="TableNormal"/>
    <w:uiPriority w:val="39"/>
    <w:rsid w:val="00EE7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36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17056">
      <w:bodyDiv w:val="1"/>
      <w:marLeft w:val="0"/>
      <w:marRight w:val="0"/>
      <w:marTop w:val="0"/>
      <w:marBottom w:val="0"/>
      <w:divBdr>
        <w:top w:val="none" w:sz="0" w:space="0" w:color="auto"/>
        <w:left w:val="none" w:sz="0" w:space="0" w:color="auto"/>
        <w:bottom w:val="none" w:sz="0" w:space="0" w:color="auto"/>
        <w:right w:val="none" w:sz="0" w:space="0" w:color="auto"/>
      </w:divBdr>
      <w:divsChild>
        <w:div w:id="1770933322">
          <w:blockQuote w:val="1"/>
          <w:marLeft w:val="0"/>
          <w:marRight w:val="0"/>
          <w:marTop w:val="300"/>
          <w:marBottom w:val="450"/>
          <w:divBdr>
            <w:top w:val="none" w:sz="0" w:space="0" w:color="DD3333"/>
            <w:left w:val="single" w:sz="36" w:space="15" w:color="DD3333"/>
            <w:bottom w:val="none" w:sz="0" w:space="0" w:color="DD3333"/>
            <w:right w:val="none" w:sz="0" w:space="0" w:color="DD333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1502</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Diocese of Lincoln Schools</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Lewandowski</dc:creator>
  <cp:keywords/>
  <dc:description/>
  <cp:lastModifiedBy>Teresa Lewandowski</cp:lastModifiedBy>
  <cp:revision>5</cp:revision>
  <dcterms:created xsi:type="dcterms:W3CDTF">2024-11-11T18:21:00Z</dcterms:created>
  <dcterms:modified xsi:type="dcterms:W3CDTF">2024-12-18T16:00:00Z</dcterms:modified>
</cp:coreProperties>
</file>