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5A3EE" w14:textId="658A07AE" w:rsidR="008B0B73" w:rsidRDefault="008B0B73" w:rsidP="008B0B73">
      <w:pPr>
        <w:jc w:val="center"/>
        <w:rPr>
          <w:color w:val="262626" w:themeColor="text1" w:themeTint="D9"/>
        </w:rPr>
      </w:pPr>
      <w:r>
        <w:rPr>
          <w:noProof/>
          <w:color w:val="262626" w:themeColor="text1" w:themeTint="D9"/>
        </w:rPr>
        <w:drawing>
          <wp:anchor distT="0" distB="0" distL="114300" distR="114300" simplePos="0" relativeHeight="251658240" behindDoc="0" locked="0" layoutInCell="1" allowOverlap="1" wp14:anchorId="0923C3F3" wp14:editId="71A73FA2">
            <wp:simplePos x="0" y="0"/>
            <wp:positionH relativeFrom="column">
              <wp:posOffset>1898650</wp:posOffset>
            </wp:positionH>
            <wp:positionV relativeFrom="paragraph">
              <wp:posOffset>-5080</wp:posOffset>
            </wp:positionV>
            <wp:extent cx="3060700" cy="895350"/>
            <wp:effectExtent l="0" t="0" r="6350" b="0"/>
            <wp:wrapNone/>
            <wp:docPr id="3" name="Picture 3" descr="C:\Users\Linda-Monahan\AppData\Local\Microsoft\Windows\INetCache\Content.MSO\3A950B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Monahan\AppData\Local\Microsoft\Windows\INetCache\Content.MSO\3A950B2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0" cy="895350"/>
                    </a:xfrm>
                    <a:prstGeom prst="rect">
                      <a:avLst/>
                    </a:prstGeom>
                    <a:noFill/>
                    <a:ln>
                      <a:noFill/>
                    </a:ln>
                  </pic:spPr>
                </pic:pic>
              </a:graphicData>
            </a:graphic>
            <wp14:sizeRelV relativeFrom="margin">
              <wp14:pctHeight>0</wp14:pctHeight>
            </wp14:sizeRelV>
          </wp:anchor>
        </w:drawing>
      </w:r>
    </w:p>
    <w:p w14:paraId="5AECE6A2" w14:textId="77777777" w:rsidR="008B0B73" w:rsidRDefault="008B0B73" w:rsidP="000E7F51">
      <w:pPr>
        <w:rPr>
          <w:color w:val="262626" w:themeColor="text1" w:themeTint="D9"/>
        </w:rPr>
      </w:pPr>
    </w:p>
    <w:p w14:paraId="604935EB" w14:textId="77777777" w:rsidR="008B0B73" w:rsidRDefault="008B0B73" w:rsidP="000E7F51">
      <w:pPr>
        <w:rPr>
          <w:color w:val="262626" w:themeColor="text1" w:themeTint="D9"/>
        </w:rPr>
      </w:pPr>
    </w:p>
    <w:p w14:paraId="363C8717" w14:textId="0B809EFD" w:rsidR="000E7F51" w:rsidRPr="00193D49" w:rsidRDefault="000E7F51" w:rsidP="000E7F51">
      <w:pPr>
        <w:rPr>
          <w:color w:val="262626" w:themeColor="text1" w:themeTint="D9"/>
        </w:rPr>
      </w:pPr>
      <w:r w:rsidRPr="00193D49">
        <w:rPr>
          <w:color w:val="262626" w:themeColor="text1" w:themeTint="D9"/>
        </w:rPr>
        <w:t>Dear Parents:</w:t>
      </w:r>
    </w:p>
    <w:p w14:paraId="556B3986" w14:textId="77777777" w:rsidR="000E7F51" w:rsidRPr="00193D49" w:rsidRDefault="000E7F51" w:rsidP="000E7F51">
      <w:pPr>
        <w:rPr>
          <w:color w:val="262626" w:themeColor="text1" w:themeTint="D9"/>
        </w:rPr>
      </w:pPr>
    </w:p>
    <w:p w14:paraId="1B298739" w14:textId="46F09990" w:rsidR="002F7C06" w:rsidRPr="00193D49" w:rsidRDefault="002F7C06" w:rsidP="002F7C06">
      <w:pPr>
        <w:pStyle w:val="yiv6768157447msonormal"/>
        <w:shd w:val="clear" w:color="auto" w:fill="FFFFFF"/>
        <w:spacing w:before="0" w:beforeAutospacing="0" w:after="0" w:afterAutospacing="0"/>
        <w:rPr>
          <w:rFonts w:asciiTheme="minorHAnsi" w:hAnsiTheme="minorHAnsi"/>
          <w:color w:val="262626" w:themeColor="text1" w:themeTint="D9"/>
          <w:shd w:val="clear" w:color="auto" w:fill="FFFFFF"/>
        </w:rPr>
      </w:pPr>
      <w:r w:rsidRPr="00193D49">
        <w:rPr>
          <w:rFonts w:asciiTheme="minorHAnsi" w:hAnsiTheme="minorHAnsi"/>
          <w:color w:val="262626" w:themeColor="text1" w:themeTint="D9"/>
          <w:shd w:val="clear" w:color="auto" w:fill="FFFFFF"/>
        </w:rPr>
        <w:t xml:space="preserve">The Diocese of Lincoln was blessed to receive funding from a private foundation </w:t>
      </w:r>
      <w:r w:rsidR="00154811" w:rsidRPr="00193D49">
        <w:rPr>
          <w:rFonts w:asciiTheme="minorHAnsi" w:hAnsiTheme="minorHAnsi"/>
          <w:color w:val="262626" w:themeColor="text1" w:themeTint="D9"/>
          <w:shd w:val="clear" w:color="auto" w:fill="FFFFFF"/>
        </w:rPr>
        <w:t>that</w:t>
      </w:r>
      <w:r w:rsidRPr="00193D49">
        <w:rPr>
          <w:rFonts w:asciiTheme="minorHAnsi" w:hAnsiTheme="minorHAnsi"/>
          <w:color w:val="262626" w:themeColor="text1" w:themeTint="D9"/>
        </w:rPr>
        <w:t xml:space="preserve"> provided </w:t>
      </w:r>
      <w:r w:rsidR="00154811" w:rsidRPr="00193D49">
        <w:rPr>
          <w:rFonts w:asciiTheme="minorHAnsi" w:hAnsiTheme="minorHAnsi"/>
          <w:color w:val="262626" w:themeColor="text1" w:themeTint="D9"/>
        </w:rPr>
        <w:t>the funds</w:t>
      </w:r>
      <w:r w:rsidRPr="00193D49">
        <w:rPr>
          <w:rFonts w:asciiTheme="minorHAnsi" w:hAnsiTheme="minorHAnsi"/>
          <w:color w:val="262626" w:themeColor="text1" w:themeTint="D9"/>
        </w:rPr>
        <w:t xml:space="preserve"> each year to pay for the technology, software and technical support personnel for our Catholic schools. This donation has averaged $1.5 million to $2 million per year. Their generosity and support of our Catholic schools cannot be under-estimated.</w:t>
      </w:r>
    </w:p>
    <w:p w14:paraId="233559D2" w14:textId="77777777" w:rsidR="002F7C06" w:rsidRPr="00193D49" w:rsidRDefault="002F7C06" w:rsidP="00210B04">
      <w:pPr>
        <w:pStyle w:val="yiv6768157447msonormal"/>
        <w:shd w:val="clear" w:color="auto" w:fill="FFFFFF"/>
        <w:spacing w:before="0" w:beforeAutospacing="0" w:after="0" w:afterAutospacing="0" w:line="160" w:lineRule="exact"/>
        <w:rPr>
          <w:rFonts w:asciiTheme="minorHAnsi" w:hAnsiTheme="minorHAnsi"/>
          <w:color w:val="262626" w:themeColor="text1" w:themeTint="D9"/>
        </w:rPr>
      </w:pPr>
      <w:r w:rsidRPr="00193D49">
        <w:rPr>
          <w:rFonts w:asciiTheme="minorHAnsi" w:hAnsiTheme="minorHAnsi"/>
          <w:color w:val="262626" w:themeColor="text1" w:themeTint="D9"/>
        </w:rPr>
        <w:t> </w:t>
      </w:r>
    </w:p>
    <w:p w14:paraId="2E6FC94D" w14:textId="17400122" w:rsidR="002F7C06" w:rsidRPr="00193D49" w:rsidRDefault="002F7C06" w:rsidP="002F7C06">
      <w:pPr>
        <w:pStyle w:val="yiv6768157447msonormal"/>
        <w:shd w:val="clear" w:color="auto" w:fill="FFFFFF"/>
        <w:spacing w:before="0" w:beforeAutospacing="0" w:after="0" w:afterAutospacing="0"/>
        <w:rPr>
          <w:rFonts w:asciiTheme="minorHAnsi" w:hAnsiTheme="minorHAnsi"/>
          <w:color w:val="262626" w:themeColor="text1" w:themeTint="D9"/>
        </w:rPr>
      </w:pPr>
      <w:r w:rsidRPr="00193D49">
        <w:rPr>
          <w:rFonts w:asciiTheme="minorHAnsi" w:hAnsiTheme="minorHAnsi"/>
          <w:color w:val="262626" w:themeColor="text1" w:themeTint="D9"/>
        </w:rPr>
        <w:t xml:space="preserve">Thanks to their significant gift, a centralized Technology Department was created. Through the years, the Technology leadership team and their employees have been able to successfully guide the technical advancement in our schools and have kept our students and staff safe and secure in their use of technology and the Internet.  </w:t>
      </w:r>
    </w:p>
    <w:p w14:paraId="0362C214" w14:textId="77777777" w:rsidR="002F7C06" w:rsidRPr="00193D49" w:rsidRDefault="002F7C06" w:rsidP="00210B04">
      <w:pPr>
        <w:pStyle w:val="yiv6768157447msonormal"/>
        <w:shd w:val="clear" w:color="auto" w:fill="FFFFFF"/>
        <w:spacing w:before="0" w:beforeAutospacing="0" w:after="0" w:afterAutospacing="0" w:line="160" w:lineRule="exact"/>
        <w:rPr>
          <w:rFonts w:asciiTheme="minorHAnsi" w:hAnsiTheme="minorHAnsi"/>
          <w:color w:val="262626" w:themeColor="text1" w:themeTint="D9"/>
        </w:rPr>
      </w:pPr>
    </w:p>
    <w:p w14:paraId="0D782456" w14:textId="77777777" w:rsidR="00154811" w:rsidRPr="00193D49" w:rsidRDefault="002F7C06" w:rsidP="002F7C06">
      <w:pPr>
        <w:pStyle w:val="yiv6768157447msonormal"/>
        <w:shd w:val="clear" w:color="auto" w:fill="FFFFFF"/>
        <w:spacing w:before="0" w:beforeAutospacing="0" w:after="0" w:afterAutospacing="0"/>
        <w:rPr>
          <w:rFonts w:asciiTheme="minorHAnsi" w:hAnsiTheme="minorHAnsi"/>
          <w:color w:val="262626" w:themeColor="text1" w:themeTint="D9"/>
        </w:rPr>
      </w:pPr>
      <w:r w:rsidRPr="00193D49">
        <w:rPr>
          <w:rFonts w:asciiTheme="minorHAnsi" w:hAnsiTheme="minorHAnsi"/>
          <w:color w:val="262626" w:themeColor="text1" w:themeTint="D9"/>
        </w:rPr>
        <w:t xml:space="preserve">The donor funding will be winding down over three years and the financial support will end in the 2021-2022 school year. We are grateful for the donor’s technical guidance and their steadfast support of Catholic Education.  </w:t>
      </w:r>
    </w:p>
    <w:p w14:paraId="60FC4DE3" w14:textId="77777777" w:rsidR="00154811" w:rsidRPr="00193D49" w:rsidRDefault="00154811" w:rsidP="00210B04">
      <w:pPr>
        <w:pStyle w:val="yiv6768157447msonormal"/>
        <w:shd w:val="clear" w:color="auto" w:fill="FFFFFF"/>
        <w:spacing w:before="0" w:beforeAutospacing="0" w:after="0" w:afterAutospacing="0" w:line="160" w:lineRule="exact"/>
        <w:rPr>
          <w:rFonts w:asciiTheme="minorHAnsi" w:hAnsiTheme="minorHAnsi"/>
          <w:color w:val="262626" w:themeColor="text1" w:themeTint="D9"/>
        </w:rPr>
      </w:pPr>
    </w:p>
    <w:p w14:paraId="00A5CF64" w14:textId="2FB5C2E3" w:rsidR="002F7C06" w:rsidRPr="00193D49" w:rsidRDefault="002F7C06" w:rsidP="002F7C06">
      <w:pPr>
        <w:pStyle w:val="yiv6768157447msonormal"/>
        <w:shd w:val="clear" w:color="auto" w:fill="FFFFFF"/>
        <w:spacing w:before="0" w:beforeAutospacing="0" w:after="0" w:afterAutospacing="0"/>
        <w:rPr>
          <w:rFonts w:asciiTheme="minorHAnsi" w:hAnsiTheme="minorHAnsi"/>
          <w:color w:val="262626" w:themeColor="text1" w:themeTint="D9"/>
        </w:rPr>
      </w:pPr>
      <w:r w:rsidRPr="00193D49">
        <w:rPr>
          <w:rFonts w:asciiTheme="minorHAnsi" w:hAnsiTheme="minorHAnsi"/>
          <w:color w:val="262626" w:themeColor="text1" w:themeTint="D9"/>
        </w:rPr>
        <w:t>Moving forward, the funding of educational technology must increasingly be borne by the schools as part of normal operational costs.  To that end,</w:t>
      </w:r>
      <w:r w:rsidR="00154811" w:rsidRPr="00193D49">
        <w:rPr>
          <w:rFonts w:asciiTheme="minorHAnsi" w:hAnsiTheme="minorHAnsi"/>
          <w:color w:val="262626" w:themeColor="text1" w:themeTint="D9"/>
        </w:rPr>
        <w:t xml:space="preserve"> beginning in August 2020, the D</w:t>
      </w:r>
      <w:r w:rsidRPr="00193D49">
        <w:rPr>
          <w:rFonts w:asciiTheme="minorHAnsi" w:hAnsiTheme="minorHAnsi"/>
          <w:color w:val="262626" w:themeColor="text1" w:themeTint="D9"/>
        </w:rPr>
        <w:t>iocese will introduce a fee to cover the expenses involved with providing educational technology to the schools.</w:t>
      </w:r>
    </w:p>
    <w:p w14:paraId="77D38980" w14:textId="77777777" w:rsidR="002F7C06" w:rsidRPr="00193D49" w:rsidRDefault="002F7C06" w:rsidP="00210B04">
      <w:pPr>
        <w:pStyle w:val="yiv6768157447msonormal"/>
        <w:shd w:val="clear" w:color="auto" w:fill="FFFFFF"/>
        <w:spacing w:before="0" w:beforeAutospacing="0" w:after="0" w:afterAutospacing="0" w:line="160" w:lineRule="exact"/>
        <w:rPr>
          <w:rFonts w:asciiTheme="minorHAnsi" w:hAnsiTheme="minorHAnsi"/>
          <w:color w:val="262626" w:themeColor="text1" w:themeTint="D9"/>
        </w:rPr>
      </w:pPr>
      <w:r w:rsidRPr="00193D49">
        <w:rPr>
          <w:rFonts w:asciiTheme="minorHAnsi" w:hAnsiTheme="minorHAnsi"/>
          <w:color w:val="262626" w:themeColor="text1" w:themeTint="D9"/>
        </w:rPr>
        <w:t> </w:t>
      </w:r>
    </w:p>
    <w:p w14:paraId="58EB77E3" w14:textId="64779003" w:rsidR="00833363" w:rsidRPr="00193D49" w:rsidRDefault="00833363" w:rsidP="003C2DE9">
      <w:pPr>
        <w:rPr>
          <w:color w:val="262626" w:themeColor="text1" w:themeTint="D9"/>
        </w:rPr>
      </w:pPr>
      <w:r w:rsidRPr="00193D49">
        <w:rPr>
          <w:color w:val="262626" w:themeColor="text1" w:themeTint="D9"/>
        </w:rPr>
        <w:t xml:space="preserve">The </w:t>
      </w:r>
      <w:r w:rsidR="003B7AF2" w:rsidRPr="00193D49">
        <w:rPr>
          <w:color w:val="262626" w:themeColor="text1" w:themeTint="D9"/>
        </w:rPr>
        <w:t xml:space="preserve">technology </w:t>
      </w:r>
      <w:r w:rsidRPr="00193D49">
        <w:rPr>
          <w:color w:val="262626" w:themeColor="text1" w:themeTint="D9"/>
        </w:rPr>
        <w:t xml:space="preserve">fee will be phased in over the next several years. Parents will be responsible for paying a partial fee beginning </w:t>
      </w:r>
      <w:r w:rsidR="00154811" w:rsidRPr="00193D49">
        <w:rPr>
          <w:color w:val="262626" w:themeColor="text1" w:themeTint="D9"/>
        </w:rPr>
        <w:t xml:space="preserve">with the 2020-2021 school year and </w:t>
      </w:r>
      <w:r w:rsidRPr="00193D49">
        <w:rPr>
          <w:color w:val="262626" w:themeColor="text1" w:themeTint="D9"/>
        </w:rPr>
        <w:t xml:space="preserve">will be responsible for paying the </w:t>
      </w:r>
      <w:r w:rsidR="00934E54" w:rsidRPr="00193D49">
        <w:rPr>
          <w:color w:val="262626" w:themeColor="text1" w:themeTint="D9"/>
        </w:rPr>
        <w:t>full fee</w:t>
      </w:r>
      <w:r w:rsidRPr="00193D49">
        <w:rPr>
          <w:color w:val="262626" w:themeColor="text1" w:themeTint="D9"/>
        </w:rPr>
        <w:t xml:space="preserve"> at the start of the 2022-23 school year, when the donor support has ended. A chart containing the fee structure for the next three years is </w:t>
      </w:r>
      <w:r w:rsidR="003B7AF2" w:rsidRPr="00193D49">
        <w:rPr>
          <w:color w:val="262626" w:themeColor="text1" w:themeTint="D9"/>
        </w:rPr>
        <w:t>below</w:t>
      </w:r>
      <w:r w:rsidRPr="00193D49">
        <w:rPr>
          <w:color w:val="262626" w:themeColor="text1" w:themeTint="D9"/>
        </w:rPr>
        <w:t xml:space="preserve">. </w:t>
      </w:r>
    </w:p>
    <w:p w14:paraId="11E73E27" w14:textId="6F481457" w:rsidR="000E7F51" w:rsidRDefault="000E7F51" w:rsidP="00210B04">
      <w:pPr>
        <w:spacing w:line="160" w:lineRule="exact"/>
      </w:pPr>
    </w:p>
    <w:p w14:paraId="3B4133F5" w14:textId="5BBBDE9F" w:rsidR="000E7F51" w:rsidRPr="00960CC6" w:rsidRDefault="00985659" w:rsidP="00934E54">
      <w:pPr>
        <w:pStyle w:val="ListParagraph"/>
        <w:numPr>
          <w:ilvl w:val="0"/>
          <w:numId w:val="7"/>
        </w:numPr>
      </w:pPr>
      <w:r w:rsidRPr="00960CC6">
        <w:t>To cover th</w:t>
      </w:r>
      <w:r w:rsidR="00DC41A7" w:rsidRPr="00960CC6">
        <w:t xml:space="preserve">is </w:t>
      </w:r>
      <w:r w:rsidRPr="00960CC6">
        <w:t xml:space="preserve">cost, </w:t>
      </w:r>
      <w:r w:rsidR="007A7546" w:rsidRPr="00960CC6">
        <w:t xml:space="preserve">St. John the Baptist School </w:t>
      </w:r>
      <w:r w:rsidR="000E7F51" w:rsidRPr="00960CC6">
        <w:t xml:space="preserve">will charge each student a </w:t>
      </w:r>
      <w:r w:rsidR="003B7AF2" w:rsidRPr="00960CC6">
        <w:t>technology</w:t>
      </w:r>
      <w:r w:rsidRPr="00960CC6">
        <w:t xml:space="preserve"> </w:t>
      </w:r>
      <w:r w:rsidR="000E7F51" w:rsidRPr="00960CC6">
        <w:t xml:space="preserve">fee </w:t>
      </w:r>
      <w:r w:rsidR="000C7BA6" w:rsidRPr="00960CC6">
        <w:t>for the 2020-2021</w:t>
      </w:r>
      <w:r w:rsidR="00154811" w:rsidRPr="00960CC6">
        <w:t xml:space="preserve"> school year</w:t>
      </w:r>
      <w:r w:rsidR="007A7546" w:rsidRPr="00960CC6">
        <w:t xml:space="preserve">. This cost </w:t>
      </w:r>
      <w:proofErr w:type="gramStart"/>
      <w:r w:rsidR="007A7546" w:rsidRPr="00960CC6">
        <w:t>will be covered</w:t>
      </w:r>
      <w:proofErr w:type="gramEnd"/>
      <w:r w:rsidR="007A7546" w:rsidRPr="00960CC6">
        <w:t xml:space="preserve"> by the increase in tuition that is required for us to be a part of the Good</w:t>
      </w:r>
      <w:r w:rsidR="00A545E8" w:rsidRPr="00960CC6">
        <w:t xml:space="preserve"> Shepherd Scholarship fund. </w:t>
      </w:r>
      <w:proofErr w:type="gramStart"/>
      <w:r w:rsidR="00A545E8" w:rsidRPr="00960CC6">
        <w:t>As s</w:t>
      </w:r>
      <w:r w:rsidR="007A7546" w:rsidRPr="00960CC6">
        <w:t xml:space="preserve">tated in the letter </w:t>
      </w:r>
      <w:r w:rsidR="00A545E8" w:rsidRPr="00960CC6">
        <w:t xml:space="preserve">to the parents </w:t>
      </w:r>
      <w:r w:rsidR="007A7546" w:rsidRPr="00960CC6">
        <w:t>about the Good Shepherd Scholarship</w:t>
      </w:r>
      <w:r w:rsidR="00A545E8" w:rsidRPr="00960CC6">
        <w:t xml:space="preserve"> for all families</w:t>
      </w:r>
      <w:r w:rsidR="007A7546" w:rsidRPr="00960CC6">
        <w:t xml:space="preserve"> to receive the $1,300 scholarship St. John’s</w:t>
      </w:r>
      <w:proofErr w:type="gramEnd"/>
      <w:r w:rsidR="007A7546" w:rsidRPr="00960CC6">
        <w:t xml:space="preserve"> is required to charge at least $1,750 in tuition.</w:t>
      </w:r>
    </w:p>
    <w:p w14:paraId="2A2EF528" w14:textId="6630BDCA" w:rsidR="003B7AF2" w:rsidRDefault="00547747" w:rsidP="00547747">
      <w:pPr>
        <w:rPr>
          <w:b/>
        </w:rPr>
      </w:pPr>
      <w:r w:rsidRPr="00960CC6">
        <w:rPr>
          <w:b/>
        </w:rPr>
        <w:t xml:space="preserve">St. John the Baptist </w:t>
      </w:r>
      <w:r w:rsidR="00A545E8" w:rsidRPr="00960CC6">
        <w:rPr>
          <w:b/>
        </w:rPr>
        <w:t xml:space="preserve">School </w:t>
      </w:r>
      <w:r w:rsidRPr="00960CC6">
        <w:rPr>
          <w:b/>
        </w:rPr>
        <w:t xml:space="preserve">will evaluate this fee in the </w:t>
      </w:r>
      <w:r w:rsidR="00A545E8" w:rsidRPr="00960CC6">
        <w:rPr>
          <w:b/>
        </w:rPr>
        <w:t xml:space="preserve">amount </w:t>
      </w:r>
      <w:proofErr w:type="gramStart"/>
      <w:r w:rsidR="00A545E8" w:rsidRPr="00960CC6">
        <w:rPr>
          <w:b/>
        </w:rPr>
        <w:t>being passed on</w:t>
      </w:r>
      <w:proofErr w:type="gramEnd"/>
      <w:r w:rsidR="00A545E8" w:rsidRPr="00960CC6">
        <w:rPr>
          <w:b/>
        </w:rPr>
        <w:t xml:space="preserve"> to families accordingly</w:t>
      </w:r>
      <w:r w:rsidR="00A0282B" w:rsidRPr="00960CC6">
        <w:rPr>
          <w:b/>
        </w:rPr>
        <w:t>.  Please know that even with</w:t>
      </w:r>
      <w:r w:rsidRPr="00960CC6">
        <w:rPr>
          <w:b/>
        </w:rPr>
        <w:t xml:space="preserve"> the technology fee, tuition will increase in the future</w:t>
      </w:r>
      <w:r w:rsidR="00A545E8" w:rsidRPr="00960CC6">
        <w:rPr>
          <w:b/>
        </w:rPr>
        <w:t xml:space="preserve"> as necessary </w:t>
      </w:r>
      <w:r w:rsidRPr="00960CC6">
        <w:rPr>
          <w:b/>
        </w:rPr>
        <w:t xml:space="preserve">to cover cost </w:t>
      </w:r>
      <w:r w:rsidR="00A545E8" w:rsidRPr="00960CC6">
        <w:rPr>
          <w:b/>
        </w:rPr>
        <w:t>–of-</w:t>
      </w:r>
      <w:r w:rsidRPr="00960CC6">
        <w:rPr>
          <w:b/>
        </w:rPr>
        <w:t xml:space="preserve">living expenses, teacher salaries, </w:t>
      </w:r>
      <w:r w:rsidR="00A545E8" w:rsidRPr="00960CC6">
        <w:rPr>
          <w:b/>
        </w:rPr>
        <w:t>regular</w:t>
      </w:r>
      <w:r w:rsidRPr="00960CC6">
        <w:rPr>
          <w:b/>
        </w:rPr>
        <w:t xml:space="preserve"> operation</w:t>
      </w:r>
      <w:r w:rsidR="00A545E8" w:rsidRPr="00960CC6">
        <w:rPr>
          <w:b/>
        </w:rPr>
        <w:t>al cost increases.  We will continue to monitor expenses closely to ensure that the value provided by St. John the Baptist School aligns with the cost of tuition.</w:t>
      </w:r>
      <w:r>
        <w:rPr>
          <w:b/>
        </w:rPr>
        <w:t xml:space="preserve">  </w:t>
      </w:r>
    </w:p>
    <w:p w14:paraId="52ECC305" w14:textId="77777777" w:rsidR="00547747" w:rsidRDefault="00547747" w:rsidP="00547747">
      <w:pPr>
        <w:ind w:left="720"/>
        <w:rPr>
          <w:b/>
        </w:rPr>
      </w:pPr>
    </w:p>
    <w:p w14:paraId="5B693F83" w14:textId="77777777" w:rsidR="003B7AF2" w:rsidRPr="008C7489" w:rsidRDefault="003B7AF2" w:rsidP="003B7AF2">
      <w:pPr>
        <w:pStyle w:val="ListParagraph"/>
        <w:spacing w:after="160" w:line="259" w:lineRule="auto"/>
        <w:ind w:left="0"/>
        <w:rPr>
          <w:rFonts w:cstheme="minorHAnsi"/>
          <w:b/>
          <w:bCs/>
          <w:color w:val="191919" w:themeColor="text1" w:themeTint="E6"/>
        </w:rPr>
      </w:pPr>
      <w:r w:rsidRPr="0024590C">
        <w:rPr>
          <w:rFonts w:cstheme="minorHAnsi"/>
          <w:b/>
          <w:bCs/>
          <w:color w:val="191919" w:themeColor="text1" w:themeTint="E6"/>
        </w:rPr>
        <w:t xml:space="preserve">Education &amp; Technology Office </w:t>
      </w:r>
      <w:r>
        <w:rPr>
          <w:rFonts w:cstheme="minorHAnsi"/>
          <w:b/>
          <w:bCs/>
          <w:color w:val="191919" w:themeColor="text1" w:themeTint="E6"/>
        </w:rPr>
        <w:t>Three-year Fee Schedule</w:t>
      </w:r>
    </w:p>
    <w:p w14:paraId="6FB6725B" w14:textId="77777777" w:rsidR="003B7AF2" w:rsidRPr="00E24F22" w:rsidRDefault="003B7AF2" w:rsidP="003B7AF2">
      <w:pPr>
        <w:pStyle w:val="ListParagraph"/>
        <w:spacing w:after="160" w:line="259" w:lineRule="auto"/>
        <w:ind w:left="360"/>
        <w:rPr>
          <w:rFonts w:cstheme="minorHAnsi"/>
          <w:color w:val="191919" w:themeColor="text1" w:themeTint="E6"/>
        </w:rPr>
      </w:pPr>
    </w:p>
    <w:tbl>
      <w:tblPr>
        <w:tblStyle w:val="TableGrid"/>
        <w:tblW w:w="0" w:type="auto"/>
        <w:jc w:val="center"/>
        <w:tblLook w:val="04A0" w:firstRow="1" w:lastRow="0" w:firstColumn="1" w:lastColumn="0" w:noHBand="0" w:noVBand="1"/>
      </w:tblPr>
      <w:tblGrid>
        <w:gridCol w:w="4445"/>
        <w:gridCol w:w="1697"/>
        <w:gridCol w:w="1697"/>
        <w:gridCol w:w="1764"/>
      </w:tblGrid>
      <w:tr w:rsidR="003B7AF2" w:rsidRPr="00E24F22" w14:paraId="0D8FADF5" w14:textId="77777777" w:rsidTr="008B0B73">
        <w:trPr>
          <w:trHeight w:val="417"/>
          <w:jc w:val="center"/>
        </w:trPr>
        <w:tc>
          <w:tcPr>
            <w:tcW w:w="4445" w:type="dxa"/>
            <w:shd w:val="clear" w:color="auto" w:fill="D9D9D9" w:themeFill="background1" w:themeFillShade="D9"/>
          </w:tcPr>
          <w:p w14:paraId="454E113B" w14:textId="77777777" w:rsidR="003B7AF2" w:rsidRPr="00E24F22" w:rsidRDefault="003B7AF2" w:rsidP="00C660B8">
            <w:pPr>
              <w:pStyle w:val="ListParagraph"/>
              <w:spacing w:after="160" w:line="259" w:lineRule="auto"/>
              <w:ind w:left="0"/>
              <w:rPr>
                <w:rFonts w:cstheme="minorHAnsi"/>
                <w:b/>
                <w:color w:val="191919" w:themeColor="text1" w:themeTint="E6"/>
                <w:sz w:val="24"/>
                <w:szCs w:val="24"/>
              </w:rPr>
            </w:pPr>
            <w:r w:rsidRPr="00E24F22">
              <w:rPr>
                <w:rFonts w:cstheme="minorHAnsi"/>
                <w:b/>
                <w:color w:val="191919" w:themeColor="text1" w:themeTint="E6"/>
                <w:sz w:val="24"/>
                <w:szCs w:val="24"/>
              </w:rPr>
              <w:t>School Year:</w:t>
            </w:r>
          </w:p>
        </w:tc>
        <w:tc>
          <w:tcPr>
            <w:tcW w:w="1697" w:type="dxa"/>
            <w:shd w:val="clear" w:color="auto" w:fill="D9D9D9" w:themeFill="background1" w:themeFillShade="D9"/>
          </w:tcPr>
          <w:p w14:paraId="5EF7EE28" w14:textId="77777777" w:rsidR="003B7AF2" w:rsidRPr="00E24F22" w:rsidRDefault="003B7AF2" w:rsidP="003B7AF2">
            <w:pPr>
              <w:pStyle w:val="ListParagraph"/>
              <w:spacing w:after="160" w:line="259" w:lineRule="auto"/>
              <w:ind w:left="0"/>
              <w:jc w:val="center"/>
              <w:rPr>
                <w:rFonts w:cstheme="minorHAnsi"/>
                <w:b/>
                <w:color w:val="191919" w:themeColor="text1" w:themeTint="E6"/>
                <w:sz w:val="24"/>
                <w:szCs w:val="24"/>
              </w:rPr>
            </w:pPr>
            <w:r w:rsidRPr="00E24F22">
              <w:rPr>
                <w:rFonts w:cstheme="minorHAnsi"/>
                <w:b/>
                <w:color w:val="191919" w:themeColor="text1" w:themeTint="E6"/>
                <w:sz w:val="24"/>
                <w:szCs w:val="24"/>
              </w:rPr>
              <w:t>2020-2021</w:t>
            </w:r>
          </w:p>
        </w:tc>
        <w:tc>
          <w:tcPr>
            <w:tcW w:w="1697" w:type="dxa"/>
            <w:shd w:val="clear" w:color="auto" w:fill="D9D9D9" w:themeFill="background1" w:themeFillShade="D9"/>
          </w:tcPr>
          <w:p w14:paraId="687859AF" w14:textId="77777777" w:rsidR="003B7AF2" w:rsidRPr="00E24F22" w:rsidRDefault="003B7AF2" w:rsidP="003B7AF2">
            <w:pPr>
              <w:pStyle w:val="ListParagraph"/>
              <w:spacing w:after="160" w:line="259" w:lineRule="auto"/>
              <w:ind w:left="0"/>
              <w:jc w:val="center"/>
              <w:rPr>
                <w:rFonts w:cstheme="minorHAnsi"/>
                <w:b/>
                <w:color w:val="191919" w:themeColor="text1" w:themeTint="E6"/>
                <w:sz w:val="24"/>
                <w:szCs w:val="24"/>
              </w:rPr>
            </w:pPr>
            <w:r w:rsidRPr="00E24F22">
              <w:rPr>
                <w:rFonts w:cstheme="minorHAnsi"/>
                <w:b/>
                <w:color w:val="191919" w:themeColor="text1" w:themeTint="E6"/>
                <w:sz w:val="24"/>
                <w:szCs w:val="24"/>
              </w:rPr>
              <w:t>2021-2022</w:t>
            </w:r>
          </w:p>
        </w:tc>
        <w:tc>
          <w:tcPr>
            <w:tcW w:w="1764" w:type="dxa"/>
            <w:shd w:val="clear" w:color="auto" w:fill="D9D9D9" w:themeFill="background1" w:themeFillShade="D9"/>
          </w:tcPr>
          <w:p w14:paraId="6C1570A7" w14:textId="77777777" w:rsidR="003B7AF2" w:rsidRPr="00E24F22" w:rsidRDefault="003B7AF2" w:rsidP="003B7AF2">
            <w:pPr>
              <w:pStyle w:val="ListParagraph"/>
              <w:spacing w:after="160" w:line="259" w:lineRule="auto"/>
              <w:ind w:left="0"/>
              <w:jc w:val="center"/>
              <w:rPr>
                <w:rFonts w:cstheme="minorHAnsi"/>
                <w:b/>
                <w:color w:val="191919" w:themeColor="text1" w:themeTint="E6"/>
                <w:sz w:val="24"/>
                <w:szCs w:val="24"/>
              </w:rPr>
            </w:pPr>
            <w:r w:rsidRPr="00E24F22">
              <w:rPr>
                <w:rFonts w:cstheme="minorHAnsi"/>
                <w:b/>
                <w:color w:val="191919" w:themeColor="text1" w:themeTint="E6"/>
                <w:sz w:val="24"/>
                <w:szCs w:val="24"/>
              </w:rPr>
              <w:t>2022-2023</w:t>
            </w:r>
          </w:p>
        </w:tc>
      </w:tr>
      <w:tr w:rsidR="003B7AF2" w:rsidRPr="00E24F22" w14:paraId="38BCEB97" w14:textId="77777777" w:rsidTr="008B0B73">
        <w:trPr>
          <w:trHeight w:val="305"/>
          <w:jc w:val="center"/>
        </w:trPr>
        <w:tc>
          <w:tcPr>
            <w:tcW w:w="4445" w:type="dxa"/>
          </w:tcPr>
          <w:p w14:paraId="5C114A12" w14:textId="77777777" w:rsidR="003B7AF2" w:rsidRPr="00E24F22" w:rsidRDefault="003B7AF2" w:rsidP="00C660B8">
            <w:pPr>
              <w:pStyle w:val="ListParagraph"/>
              <w:spacing w:after="160" w:line="259" w:lineRule="auto"/>
              <w:ind w:left="0"/>
              <w:rPr>
                <w:rFonts w:cstheme="minorHAnsi"/>
                <w:color w:val="191919" w:themeColor="text1" w:themeTint="E6"/>
                <w:sz w:val="24"/>
                <w:szCs w:val="24"/>
              </w:rPr>
            </w:pPr>
            <w:r w:rsidRPr="00E24F22">
              <w:rPr>
                <w:rFonts w:cstheme="minorHAnsi"/>
                <w:color w:val="191919" w:themeColor="text1" w:themeTint="E6"/>
                <w:sz w:val="24"/>
                <w:szCs w:val="24"/>
              </w:rPr>
              <w:t>Education Office &amp; Technology Fee</w:t>
            </w:r>
          </w:p>
        </w:tc>
        <w:tc>
          <w:tcPr>
            <w:tcW w:w="1697" w:type="dxa"/>
          </w:tcPr>
          <w:p w14:paraId="1E538BFA" w14:textId="77777777" w:rsidR="003B7AF2" w:rsidRPr="00E24F22" w:rsidRDefault="003B7AF2" w:rsidP="00C660B8">
            <w:pPr>
              <w:pStyle w:val="ListParagraph"/>
              <w:spacing w:after="160" w:line="259" w:lineRule="auto"/>
              <w:ind w:left="0"/>
              <w:jc w:val="center"/>
              <w:rPr>
                <w:rFonts w:cstheme="minorHAnsi"/>
                <w:color w:val="191919" w:themeColor="text1" w:themeTint="E6"/>
                <w:sz w:val="24"/>
                <w:szCs w:val="24"/>
              </w:rPr>
            </w:pPr>
            <w:r w:rsidRPr="00E24F22">
              <w:rPr>
                <w:rFonts w:cstheme="minorHAnsi"/>
                <w:color w:val="191919" w:themeColor="text1" w:themeTint="E6"/>
                <w:sz w:val="24"/>
                <w:szCs w:val="24"/>
              </w:rPr>
              <w:t>$385</w:t>
            </w:r>
          </w:p>
        </w:tc>
        <w:tc>
          <w:tcPr>
            <w:tcW w:w="1697" w:type="dxa"/>
          </w:tcPr>
          <w:p w14:paraId="062DBDD5" w14:textId="77777777" w:rsidR="003B7AF2" w:rsidRPr="00E24F22" w:rsidRDefault="003B7AF2" w:rsidP="00C660B8">
            <w:pPr>
              <w:pStyle w:val="ListParagraph"/>
              <w:spacing w:after="160" w:line="259" w:lineRule="auto"/>
              <w:ind w:left="0"/>
              <w:jc w:val="center"/>
              <w:rPr>
                <w:rFonts w:cstheme="minorHAnsi"/>
                <w:color w:val="191919" w:themeColor="text1" w:themeTint="E6"/>
                <w:sz w:val="24"/>
                <w:szCs w:val="24"/>
              </w:rPr>
            </w:pPr>
            <w:r w:rsidRPr="00E24F22">
              <w:rPr>
                <w:rFonts w:cstheme="minorHAnsi"/>
                <w:color w:val="191919" w:themeColor="text1" w:themeTint="E6"/>
                <w:sz w:val="24"/>
                <w:szCs w:val="24"/>
              </w:rPr>
              <w:t>$395</w:t>
            </w:r>
          </w:p>
        </w:tc>
        <w:tc>
          <w:tcPr>
            <w:tcW w:w="1764" w:type="dxa"/>
          </w:tcPr>
          <w:p w14:paraId="23D836D9" w14:textId="77777777" w:rsidR="003B7AF2" w:rsidRPr="00E24F22" w:rsidRDefault="003B7AF2" w:rsidP="00C660B8">
            <w:pPr>
              <w:pStyle w:val="ListParagraph"/>
              <w:spacing w:after="160" w:line="259" w:lineRule="auto"/>
              <w:ind w:left="0"/>
              <w:jc w:val="center"/>
              <w:rPr>
                <w:rFonts w:cstheme="minorHAnsi"/>
                <w:color w:val="191919" w:themeColor="text1" w:themeTint="E6"/>
                <w:sz w:val="24"/>
                <w:szCs w:val="24"/>
              </w:rPr>
            </w:pPr>
            <w:r w:rsidRPr="00E24F22">
              <w:rPr>
                <w:rFonts w:cstheme="minorHAnsi"/>
                <w:color w:val="191919" w:themeColor="text1" w:themeTint="E6"/>
                <w:sz w:val="24"/>
                <w:szCs w:val="24"/>
              </w:rPr>
              <w:t>$410</w:t>
            </w:r>
          </w:p>
        </w:tc>
      </w:tr>
      <w:tr w:rsidR="003B7AF2" w:rsidRPr="00E24F22" w14:paraId="1BB499A6" w14:textId="77777777" w:rsidTr="008B0B73">
        <w:trPr>
          <w:trHeight w:val="417"/>
          <w:jc w:val="center"/>
        </w:trPr>
        <w:tc>
          <w:tcPr>
            <w:tcW w:w="4445" w:type="dxa"/>
          </w:tcPr>
          <w:p w14:paraId="42A6C1A5" w14:textId="77777777" w:rsidR="003B7AF2" w:rsidRPr="00E24F22" w:rsidRDefault="003B7AF2" w:rsidP="00C660B8">
            <w:pPr>
              <w:pStyle w:val="ListParagraph"/>
              <w:spacing w:after="160" w:line="259" w:lineRule="auto"/>
              <w:ind w:left="0"/>
              <w:rPr>
                <w:rFonts w:cstheme="minorHAnsi"/>
                <w:color w:val="191919" w:themeColor="text1" w:themeTint="E6"/>
                <w:sz w:val="24"/>
                <w:szCs w:val="24"/>
              </w:rPr>
            </w:pPr>
            <w:r w:rsidRPr="00E24F22">
              <w:rPr>
                <w:rFonts w:cstheme="minorHAnsi"/>
                <w:color w:val="191919" w:themeColor="text1" w:themeTint="E6"/>
                <w:sz w:val="24"/>
                <w:szCs w:val="24"/>
              </w:rPr>
              <w:t>Donor Support</w:t>
            </w:r>
          </w:p>
        </w:tc>
        <w:tc>
          <w:tcPr>
            <w:tcW w:w="1697" w:type="dxa"/>
          </w:tcPr>
          <w:p w14:paraId="125F9CDA" w14:textId="77777777" w:rsidR="003B7AF2" w:rsidRPr="00E24F22" w:rsidRDefault="003B7AF2" w:rsidP="00C660B8">
            <w:pPr>
              <w:pStyle w:val="ListParagraph"/>
              <w:spacing w:after="160" w:line="259" w:lineRule="auto"/>
              <w:ind w:left="0"/>
              <w:jc w:val="center"/>
              <w:rPr>
                <w:rFonts w:cstheme="minorHAnsi"/>
                <w:color w:val="191919" w:themeColor="text1" w:themeTint="E6"/>
                <w:sz w:val="24"/>
                <w:szCs w:val="24"/>
              </w:rPr>
            </w:pPr>
            <w:r w:rsidRPr="00E24F22">
              <w:rPr>
                <w:rFonts w:cstheme="minorHAnsi"/>
                <w:color w:val="191919" w:themeColor="text1" w:themeTint="E6"/>
                <w:sz w:val="24"/>
                <w:szCs w:val="24"/>
              </w:rPr>
              <w:t>-$160</w:t>
            </w:r>
          </w:p>
        </w:tc>
        <w:tc>
          <w:tcPr>
            <w:tcW w:w="1697" w:type="dxa"/>
          </w:tcPr>
          <w:p w14:paraId="79111CBA" w14:textId="77777777" w:rsidR="003B7AF2" w:rsidRPr="00E24F22" w:rsidRDefault="003B7AF2" w:rsidP="00C660B8">
            <w:pPr>
              <w:pStyle w:val="ListParagraph"/>
              <w:spacing w:after="160" w:line="259" w:lineRule="auto"/>
              <w:ind w:left="0"/>
              <w:jc w:val="center"/>
              <w:rPr>
                <w:rFonts w:cstheme="minorHAnsi"/>
                <w:color w:val="191919" w:themeColor="text1" w:themeTint="E6"/>
                <w:sz w:val="24"/>
                <w:szCs w:val="24"/>
              </w:rPr>
            </w:pPr>
            <w:r w:rsidRPr="00E24F22">
              <w:rPr>
                <w:rFonts w:cstheme="minorHAnsi"/>
                <w:color w:val="191919" w:themeColor="text1" w:themeTint="E6"/>
                <w:sz w:val="24"/>
                <w:szCs w:val="24"/>
              </w:rPr>
              <w:t>-$65</w:t>
            </w:r>
          </w:p>
        </w:tc>
        <w:tc>
          <w:tcPr>
            <w:tcW w:w="1764" w:type="dxa"/>
          </w:tcPr>
          <w:p w14:paraId="2087FAFE" w14:textId="77777777" w:rsidR="003B7AF2" w:rsidRPr="00E24F22" w:rsidRDefault="003B7AF2" w:rsidP="00C660B8">
            <w:pPr>
              <w:pStyle w:val="ListParagraph"/>
              <w:spacing w:after="160" w:line="259" w:lineRule="auto"/>
              <w:ind w:left="0"/>
              <w:jc w:val="center"/>
              <w:rPr>
                <w:rFonts w:cstheme="minorHAnsi"/>
                <w:color w:val="191919" w:themeColor="text1" w:themeTint="E6"/>
                <w:sz w:val="24"/>
                <w:szCs w:val="24"/>
              </w:rPr>
            </w:pPr>
            <w:r w:rsidRPr="00E24F22">
              <w:rPr>
                <w:rFonts w:cstheme="minorHAnsi"/>
                <w:color w:val="191919" w:themeColor="text1" w:themeTint="E6"/>
                <w:sz w:val="24"/>
                <w:szCs w:val="24"/>
              </w:rPr>
              <w:t>$0</w:t>
            </w:r>
          </w:p>
        </w:tc>
      </w:tr>
      <w:tr w:rsidR="003B7AF2" w:rsidRPr="00E24F22" w14:paraId="4D0F98C8" w14:textId="77777777" w:rsidTr="008B0B73">
        <w:trPr>
          <w:trHeight w:val="408"/>
          <w:jc w:val="center"/>
        </w:trPr>
        <w:tc>
          <w:tcPr>
            <w:tcW w:w="4445" w:type="dxa"/>
          </w:tcPr>
          <w:p w14:paraId="7A7731B2" w14:textId="77777777" w:rsidR="003B7AF2" w:rsidRPr="00E24F22" w:rsidRDefault="003B7AF2" w:rsidP="00C660B8">
            <w:pPr>
              <w:pStyle w:val="ListParagraph"/>
              <w:spacing w:after="160" w:line="259" w:lineRule="auto"/>
              <w:ind w:left="0"/>
              <w:rPr>
                <w:rFonts w:cstheme="minorHAnsi"/>
                <w:b/>
                <w:color w:val="191919" w:themeColor="text1" w:themeTint="E6"/>
                <w:sz w:val="24"/>
                <w:szCs w:val="24"/>
              </w:rPr>
            </w:pPr>
            <w:r w:rsidRPr="00E24F22">
              <w:rPr>
                <w:rFonts w:cstheme="minorHAnsi"/>
                <w:b/>
                <w:color w:val="191919" w:themeColor="text1" w:themeTint="E6"/>
                <w:sz w:val="24"/>
                <w:szCs w:val="24"/>
              </w:rPr>
              <w:t>Final Fee</w:t>
            </w:r>
          </w:p>
        </w:tc>
        <w:tc>
          <w:tcPr>
            <w:tcW w:w="1697" w:type="dxa"/>
          </w:tcPr>
          <w:p w14:paraId="49BA62F0" w14:textId="77777777" w:rsidR="003B7AF2" w:rsidRPr="00E24F22" w:rsidRDefault="003B7AF2" w:rsidP="00C660B8">
            <w:pPr>
              <w:pStyle w:val="ListParagraph"/>
              <w:spacing w:after="160" w:line="259" w:lineRule="auto"/>
              <w:ind w:left="0"/>
              <w:jc w:val="center"/>
              <w:rPr>
                <w:rFonts w:cstheme="minorHAnsi"/>
                <w:b/>
                <w:color w:val="191919" w:themeColor="text1" w:themeTint="E6"/>
                <w:sz w:val="24"/>
                <w:szCs w:val="24"/>
              </w:rPr>
            </w:pPr>
            <w:r w:rsidRPr="00E24F22">
              <w:rPr>
                <w:rFonts w:cstheme="minorHAnsi"/>
                <w:b/>
                <w:color w:val="191919" w:themeColor="text1" w:themeTint="E6"/>
                <w:sz w:val="24"/>
                <w:szCs w:val="24"/>
              </w:rPr>
              <w:t>$225</w:t>
            </w:r>
          </w:p>
        </w:tc>
        <w:tc>
          <w:tcPr>
            <w:tcW w:w="1697" w:type="dxa"/>
          </w:tcPr>
          <w:p w14:paraId="0E7272F9" w14:textId="77777777" w:rsidR="003B7AF2" w:rsidRPr="00E24F22" w:rsidRDefault="003B7AF2" w:rsidP="00C660B8">
            <w:pPr>
              <w:pStyle w:val="ListParagraph"/>
              <w:spacing w:after="160" w:line="259" w:lineRule="auto"/>
              <w:ind w:left="0"/>
              <w:jc w:val="center"/>
              <w:rPr>
                <w:rFonts w:cstheme="minorHAnsi"/>
                <w:b/>
                <w:color w:val="191919" w:themeColor="text1" w:themeTint="E6"/>
                <w:sz w:val="24"/>
                <w:szCs w:val="24"/>
              </w:rPr>
            </w:pPr>
            <w:r w:rsidRPr="00E24F22">
              <w:rPr>
                <w:rFonts w:cstheme="minorHAnsi"/>
                <w:b/>
                <w:color w:val="191919" w:themeColor="text1" w:themeTint="E6"/>
                <w:sz w:val="24"/>
                <w:szCs w:val="24"/>
              </w:rPr>
              <w:t>$330</w:t>
            </w:r>
          </w:p>
        </w:tc>
        <w:tc>
          <w:tcPr>
            <w:tcW w:w="1764" w:type="dxa"/>
          </w:tcPr>
          <w:p w14:paraId="57B16F81" w14:textId="77777777" w:rsidR="003B7AF2" w:rsidRPr="00E24F22" w:rsidRDefault="003B7AF2" w:rsidP="00C660B8">
            <w:pPr>
              <w:pStyle w:val="ListParagraph"/>
              <w:spacing w:after="160" w:line="259" w:lineRule="auto"/>
              <w:ind w:left="0"/>
              <w:jc w:val="center"/>
              <w:rPr>
                <w:rFonts w:cstheme="minorHAnsi"/>
                <w:b/>
                <w:color w:val="191919" w:themeColor="text1" w:themeTint="E6"/>
                <w:sz w:val="24"/>
                <w:szCs w:val="24"/>
              </w:rPr>
            </w:pPr>
            <w:r w:rsidRPr="00E24F22">
              <w:rPr>
                <w:rFonts w:cstheme="minorHAnsi"/>
                <w:b/>
                <w:color w:val="191919" w:themeColor="text1" w:themeTint="E6"/>
                <w:sz w:val="24"/>
                <w:szCs w:val="24"/>
              </w:rPr>
              <w:t>$410</w:t>
            </w:r>
          </w:p>
        </w:tc>
      </w:tr>
    </w:tbl>
    <w:p w14:paraId="5080F1AB" w14:textId="5CEA57B3" w:rsidR="003B7AF2" w:rsidRDefault="003B7AF2" w:rsidP="000E7F51">
      <w:pPr>
        <w:rPr>
          <w:b/>
        </w:rPr>
      </w:pPr>
    </w:p>
    <w:p w14:paraId="54039974" w14:textId="77777777" w:rsidR="007B614F" w:rsidRDefault="000C7BA6" w:rsidP="000E7F51">
      <w:r>
        <w:t xml:space="preserve">We </w:t>
      </w:r>
      <w:proofErr w:type="gramStart"/>
      <w:r>
        <w:t>are continually focused</w:t>
      </w:r>
      <w:proofErr w:type="gramEnd"/>
      <w:r>
        <w:t xml:space="preserve"> on providing an excellent Catholic education to all of our students and a state-of-the art technology program that is safe and secure will always be an integral part of that effort. We are grateful for your continued support and for the sacrifices you make to send your children to Catholic school.  Should you have any</w:t>
      </w:r>
      <w:r w:rsidR="007A7546">
        <w:t xml:space="preserve"> questions, please contact The Diocese of Lincoln Education Office</w:t>
      </w:r>
      <w:r w:rsidR="007B614F">
        <w:t>,</w:t>
      </w:r>
    </w:p>
    <w:p w14:paraId="7CCFC40B" w14:textId="70C516AB" w:rsidR="007A7546" w:rsidRPr="00547747" w:rsidRDefault="007B614F" w:rsidP="000E7F51">
      <w:hyperlink r:id="rId6" w:history="1">
        <w:r w:rsidRPr="007B614F">
          <w:rPr>
            <w:rStyle w:val="Hyperlink"/>
          </w:rPr>
          <w:t>https://www.lincolndiocese.org/</w:t>
        </w:r>
      </w:hyperlink>
    </w:p>
    <w:p w14:paraId="55951758" w14:textId="27AF2DAA" w:rsidR="008B0B73" w:rsidRDefault="008B0B73" w:rsidP="000E7F51">
      <w:pPr>
        <w:rPr>
          <w:b/>
          <w:sz w:val="32"/>
        </w:rPr>
      </w:pPr>
      <w:bookmarkStart w:id="0" w:name="_GoBack"/>
      <w:bookmarkEnd w:id="0"/>
    </w:p>
    <w:p w14:paraId="7AFAECA6" w14:textId="538B3298" w:rsidR="000E7F51" w:rsidRPr="00547747" w:rsidRDefault="003B7AF2" w:rsidP="000E7F51">
      <w:pPr>
        <w:rPr>
          <w:b/>
          <w:sz w:val="32"/>
        </w:rPr>
      </w:pPr>
      <w:r w:rsidRPr="00547747">
        <w:rPr>
          <w:b/>
          <w:sz w:val="32"/>
        </w:rPr>
        <w:t>Frequently Asked Questions (FAQ’s)</w:t>
      </w:r>
    </w:p>
    <w:p w14:paraId="1FD6405D" w14:textId="77777777" w:rsidR="00154811" w:rsidRDefault="00154811" w:rsidP="000E7F51">
      <w:pPr>
        <w:rPr>
          <w:b/>
          <w:bCs/>
        </w:rPr>
      </w:pPr>
    </w:p>
    <w:p w14:paraId="075599BD" w14:textId="77777777" w:rsidR="000E7F51" w:rsidRPr="00801597" w:rsidRDefault="000E7F51" w:rsidP="000E7F51">
      <w:pPr>
        <w:rPr>
          <w:b/>
          <w:bCs/>
        </w:rPr>
      </w:pPr>
      <w:r w:rsidRPr="00801597">
        <w:rPr>
          <w:b/>
          <w:bCs/>
        </w:rPr>
        <w:t>What does the Education Technology Department do and what does the fee pay for?</w:t>
      </w:r>
    </w:p>
    <w:p w14:paraId="79F79DD5" w14:textId="77777777" w:rsidR="000E7F51" w:rsidRDefault="000E7F51" w:rsidP="000E7F51"/>
    <w:p w14:paraId="2B6EDABC" w14:textId="77777777" w:rsidR="000E7F51" w:rsidRDefault="000E7F51" w:rsidP="00A61503">
      <w:r>
        <w:t xml:space="preserve">The role of the Education Technology Department is to provide equipment, guidelines and standards for school software, hardware, connectivity, security, safety, technical support and training for staff and students. </w:t>
      </w:r>
      <w:r w:rsidRPr="00AE2CCF">
        <w:t>The goal behind the technology initiative is to provide all diocesan schools with access to the same standardized technology and tools, rather than implementing programs and technologies that vary from one school to another. That’s no small undertaking, as the initiative currently works to support and supply more than 8,</w:t>
      </w:r>
      <w:r>
        <w:t>6</w:t>
      </w:r>
      <w:r w:rsidRPr="00AE2CCF">
        <w:t xml:space="preserve">00 users throughout 32 Catholic schools in the Lincoln Diocese with desktop and laptop computers, servers, SMART Boards, and iPads and other </w:t>
      </w:r>
      <w:r>
        <w:t xml:space="preserve">tablet </w:t>
      </w:r>
      <w:r w:rsidRPr="00AE2CCF">
        <w:t>computers. </w:t>
      </w:r>
      <w:r>
        <w:t>Specifically, the department is dedicated to these important areas:</w:t>
      </w:r>
    </w:p>
    <w:p w14:paraId="21D0A254" w14:textId="0071FD1F" w:rsidR="000E7F51" w:rsidRPr="009D1B1E" w:rsidRDefault="000E7F51" w:rsidP="000C7BA6">
      <w:pPr>
        <w:pStyle w:val="ListParagraph"/>
        <w:numPr>
          <w:ilvl w:val="0"/>
          <w:numId w:val="5"/>
        </w:numPr>
        <w:spacing w:before="120" w:after="120"/>
        <w:contextualSpacing w:val="0"/>
      </w:pPr>
      <w:r w:rsidRPr="003B7AF2">
        <w:rPr>
          <w:b/>
        </w:rPr>
        <w:t>Training &amp; Curriculum Integration</w:t>
      </w:r>
      <w:r>
        <w:t xml:space="preserve"> – More than</w:t>
      </w:r>
      <w:r w:rsidRPr="0024590C">
        <w:t xml:space="preserve"> 30 training sessions are offered to teachers throughout the school year and during the summer, helping teachers incorporate technology into the curriculum. </w:t>
      </w:r>
      <w:r w:rsidRPr="00AE2CCF">
        <w:t xml:space="preserve">There are </w:t>
      </w:r>
      <w:r w:rsidR="000C7BA6">
        <w:t>two certified teachers,</w:t>
      </w:r>
      <w:r w:rsidRPr="00AE2CCF">
        <w:t xml:space="preserve"> dedicated to </w:t>
      </w:r>
      <w:r w:rsidR="000C7BA6">
        <w:t>staff</w:t>
      </w:r>
      <w:r w:rsidRPr="00AE2CCF">
        <w:t xml:space="preserve"> training, available for on-site workshops</w:t>
      </w:r>
      <w:r>
        <w:t>. Sc</w:t>
      </w:r>
      <w:r w:rsidRPr="005C2424">
        <w:t xml:space="preserve">hools have access to </w:t>
      </w:r>
      <w:r>
        <w:t xml:space="preserve">a </w:t>
      </w:r>
      <w:r w:rsidRPr="005C2424">
        <w:t>school/student information system and electronic grade book software</w:t>
      </w:r>
      <w:r>
        <w:t xml:space="preserve"> (PowerSchool)</w:t>
      </w:r>
      <w:r w:rsidRPr="005C2424">
        <w:t>, including implementation and</w:t>
      </w:r>
      <w:r>
        <w:t xml:space="preserve"> support.</w:t>
      </w:r>
      <w:r w:rsidR="000C7BA6">
        <w:t xml:space="preserve">  </w:t>
      </w:r>
      <w:r w:rsidR="000C7BA6" w:rsidRPr="009D1B1E">
        <w:t>In addition, new technologies are thoroughly vetted for educational impact before they are thoughtfully implemented into the local school curriculum.</w:t>
      </w:r>
    </w:p>
    <w:p w14:paraId="27485172" w14:textId="77777777" w:rsidR="000E7F51" w:rsidRDefault="000E7F51" w:rsidP="000C7BA6">
      <w:pPr>
        <w:pStyle w:val="ListParagraph"/>
        <w:numPr>
          <w:ilvl w:val="0"/>
          <w:numId w:val="5"/>
        </w:numPr>
        <w:spacing w:before="120" w:after="120"/>
        <w:contextualSpacing w:val="0"/>
      </w:pPr>
      <w:r w:rsidRPr="003B7AF2">
        <w:rPr>
          <w:b/>
        </w:rPr>
        <w:t>Internet Security &amp; Child Protection</w:t>
      </w:r>
      <w:r>
        <w:t xml:space="preserve"> – The security of our students and staff is a priority. The </w:t>
      </w:r>
      <w:r w:rsidRPr="005C2424">
        <w:t>Diocesan Wide Area Network (WAN</w:t>
      </w:r>
      <w:r>
        <w:t>)</w:t>
      </w:r>
      <w:r w:rsidRPr="005C2424">
        <w:t xml:space="preserve"> includ</w:t>
      </w:r>
      <w:r>
        <w:t>es a</w:t>
      </w:r>
      <w:r w:rsidRPr="005C2424">
        <w:t xml:space="preserve"> firewall, anti-virus and spam protection</w:t>
      </w:r>
      <w:r>
        <w:t xml:space="preserve"> and </w:t>
      </w:r>
      <w:r w:rsidRPr="005C2424">
        <w:t>web content filtering as mandated by the Children’s Internet Protection Act requirements (CIPA)</w:t>
      </w:r>
      <w:r>
        <w:t>.</w:t>
      </w:r>
    </w:p>
    <w:p w14:paraId="0FA08B53" w14:textId="2A28560C" w:rsidR="000E7F51" w:rsidRDefault="000E7F51" w:rsidP="000C7BA6">
      <w:pPr>
        <w:pStyle w:val="ListParagraph"/>
        <w:numPr>
          <w:ilvl w:val="0"/>
          <w:numId w:val="5"/>
        </w:numPr>
        <w:spacing w:before="120" w:after="120"/>
        <w:contextualSpacing w:val="0"/>
      </w:pPr>
      <w:r w:rsidRPr="003B7AF2">
        <w:rPr>
          <w:b/>
        </w:rPr>
        <w:t>Hardware</w:t>
      </w:r>
      <w:r>
        <w:t xml:space="preserve"> – E</w:t>
      </w:r>
      <w:r w:rsidRPr="005C2424">
        <w:t xml:space="preserve">ach school </w:t>
      </w:r>
      <w:r>
        <w:t>has</w:t>
      </w:r>
      <w:r w:rsidRPr="005C2424">
        <w:t xml:space="preserve"> at least one computer lab complete with </w:t>
      </w:r>
      <w:r>
        <w:t>w</w:t>
      </w:r>
      <w:r w:rsidRPr="005C2424">
        <w:t xml:space="preserve">orkstations, Microsoft Office and all necessary client access licenses (some </w:t>
      </w:r>
      <w:r w:rsidR="009D1B1E" w:rsidRPr="005C2424">
        <w:t>schools may</w:t>
      </w:r>
      <w:r w:rsidRPr="005C2424">
        <w:t xml:space="preserve"> receive iPad devices in lieu of lab computers) and </w:t>
      </w:r>
      <w:r w:rsidR="000C7BA6">
        <w:t xml:space="preserve">electronic </w:t>
      </w:r>
      <w:r w:rsidRPr="005C2424">
        <w:t>whiteboards.</w:t>
      </w:r>
      <w:r w:rsidRPr="0024590C">
        <w:t xml:space="preserve"> </w:t>
      </w:r>
      <w:r>
        <w:t xml:space="preserve">Teachers have their own </w:t>
      </w:r>
      <w:r w:rsidRPr="005C2424">
        <w:t xml:space="preserve">computer, laptop or tablet </w:t>
      </w:r>
      <w:r>
        <w:t>for use in the classroom.</w:t>
      </w:r>
      <w:r w:rsidRPr="00AE2CCF">
        <w:t xml:space="preserve"> </w:t>
      </w:r>
      <w:r>
        <w:t>Other hardware includes projectors, SMART boards, laser printers and iPads (carts, Apple TV, iPad).</w:t>
      </w:r>
    </w:p>
    <w:p w14:paraId="412E7502" w14:textId="60EA6234" w:rsidR="000E7F51" w:rsidRDefault="000E7F51" w:rsidP="000C7BA6">
      <w:pPr>
        <w:pStyle w:val="ListParagraph"/>
        <w:numPr>
          <w:ilvl w:val="0"/>
          <w:numId w:val="5"/>
        </w:numPr>
        <w:spacing w:before="120" w:after="120"/>
        <w:contextualSpacing w:val="0"/>
      </w:pPr>
      <w:r w:rsidRPr="003B7AF2">
        <w:rPr>
          <w:b/>
        </w:rPr>
        <w:t xml:space="preserve">Software </w:t>
      </w:r>
      <w:r>
        <w:t xml:space="preserve">– </w:t>
      </w:r>
      <w:r w:rsidRPr="005C2424">
        <w:t>All schools are provided with Microsoft Windows, including necessary client access licenses, Internet connection with E-mail service and World Wide Web access</w:t>
      </w:r>
      <w:r>
        <w:t>.</w:t>
      </w:r>
      <w:r w:rsidRPr="0024590C">
        <w:t xml:space="preserve"> </w:t>
      </w:r>
    </w:p>
    <w:p w14:paraId="28C9C771" w14:textId="312FBC4E" w:rsidR="000E7F51" w:rsidRDefault="000E7F51" w:rsidP="000C7BA6">
      <w:pPr>
        <w:pStyle w:val="ListParagraph"/>
        <w:numPr>
          <w:ilvl w:val="0"/>
          <w:numId w:val="5"/>
        </w:numPr>
        <w:spacing w:before="120" w:after="120"/>
        <w:contextualSpacing w:val="0"/>
      </w:pPr>
      <w:r w:rsidRPr="003B7AF2">
        <w:rPr>
          <w:b/>
        </w:rPr>
        <w:t>24-7 Technology Support &amp; Maintenance</w:t>
      </w:r>
      <w:r>
        <w:t xml:space="preserve"> –</w:t>
      </w:r>
      <w:r w:rsidRPr="0024590C">
        <w:t xml:space="preserve"> </w:t>
      </w:r>
      <w:r>
        <w:t>Al</w:t>
      </w:r>
      <w:r w:rsidRPr="005C2424">
        <w:t xml:space="preserve">l schools </w:t>
      </w:r>
      <w:r>
        <w:t xml:space="preserve">receive </w:t>
      </w:r>
      <w:r w:rsidRPr="005C2424">
        <w:t xml:space="preserve">ongoing technical support and training in the effective use of hardware and software </w:t>
      </w:r>
      <w:r>
        <w:t>and around-the-clock support if technical problems occur.</w:t>
      </w:r>
    </w:p>
    <w:p w14:paraId="5FF50B45" w14:textId="6879CB2C" w:rsidR="000E7F51" w:rsidRDefault="000E7F51" w:rsidP="00A61503">
      <w:r>
        <w:t xml:space="preserve">The Education &amp; Technology Fee will pay for: hardware, servers, tablets, lab computers and monitors, staff desktop upgrades, projectors, SMART boards, laser printers, iPads(carts, Apple TV), school software, network security, telecommunications, training and reference materials. </w:t>
      </w:r>
    </w:p>
    <w:p w14:paraId="66D1E1F2" w14:textId="77777777" w:rsidR="008C7489" w:rsidRPr="00193D49" w:rsidRDefault="008C7489" w:rsidP="008C7489">
      <w:pPr>
        <w:pStyle w:val="ListParagraph"/>
        <w:rPr>
          <w:sz w:val="12"/>
        </w:rPr>
      </w:pPr>
    </w:p>
    <w:p w14:paraId="4724B7BC" w14:textId="77777777" w:rsidR="000E7F51" w:rsidRPr="00801597" w:rsidRDefault="000E7F51" w:rsidP="000E7F51">
      <w:pPr>
        <w:rPr>
          <w:b/>
          <w:bCs/>
        </w:rPr>
      </w:pPr>
      <w:r w:rsidRPr="00801597">
        <w:rPr>
          <w:b/>
          <w:bCs/>
        </w:rPr>
        <w:t>How will the Good Shepherd Scholarship Fund help?</w:t>
      </w:r>
    </w:p>
    <w:p w14:paraId="66A98867" w14:textId="77777777" w:rsidR="000E7F51" w:rsidRPr="00154811" w:rsidRDefault="000E7F51" w:rsidP="000E7F51">
      <w:pPr>
        <w:rPr>
          <w:sz w:val="10"/>
        </w:rPr>
      </w:pPr>
    </w:p>
    <w:p w14:paraId="10E2C0D8" w14:textId="2C75F600" w:rsidR="000E7F51" w:rsidRDefault="000E7F51" w:rsidP="00A61503">
      <w:r>
        <w:t>For families that apply and qualify for the Good Shepherd Scholarship based on financial need, the Education &amp; Technology Office Fee would be added to the scholarship. Families will see a “scholarship” for the</w:t>
      </w:r>
      <w:r w:rsidR="008C7489">
        <w:t xml:space="preserve"> f</w:t>
      </w:r>
      <w:r>
        <w:t>ee on their tuition statement.</w:t>
      </w:r>
    </w:p>
    <w:p w14:paraId="1DCA21AE" w14:textId="77777777" w:rsidR="003B7AF2" w:rsidRDefault="003B7AF2" w:rsidP="00A61503"/>
    <w:p w14:paraId="6E7ACDE0" w14:textId="1941145B" w:rsidR="003B7AF2" w:rsidRDefault="003B7AF2" w:rsidP="00A61503">
      <w:pPr>
        <w:rPr>
          <w:b/>
        </w:rPr>
      </w:pPr>
      <w:r w:rsidRPr="003B7AF2">
        <w:rPr>
          <w:b/>
        </w:rPr>
        <w:t>Is the Technology Fee covered for the Family Tuition Cap Scholarship?</w:t>
      </w:r>
    </w:p>
    <w:p w14:paraId="219213DB" w14:textId="77777777" w:rsidR="00154811" w:rsidRPr="00154811" w:rsidRDefault="00154811" w:rsidP="00A61503">
      <w:pPr>
        <w:rPr>
          <w:b/>
          <w:sz w:val="16"/>
        </w:rPr>
      </w:pPr>
    </w:p>
    <w:p w14:paraId="0958E3A6" w14:textId="6CCEB14A" w:rsidR="000E7F51" w:rsidRPr="00AD05DB" w:rsidRDefault="003B7AF2" w:rsidP="000E7F51">
      <w:pPr>
        <w:rPr>
          <w:sz w:val="10"/>
        </w:rPr>
      </w:pPr>
      <w:r>
        <w:t>No, the Family Tuition Cap Scholarship does not include an additional scholarship for the technology fee.</w:t>
      </w:r>
      <w:r w:rsidR="00154811">
        <w:t xml:space="preserve">  Families will be charged the technology fee for all students in grades K-12.</w:t>
      </w:r>
    </w:p>
    <w:sectPr w:rsidR="000E7F51" w:rsidRPr="00AD05DB" w:rsidSect="008B0B73">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211"/>
    <w:multiLevelType w:val="hybridMultilevel"/>
    <w:tmpl w:val="BD0E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255D3"/>
    <w:multiLevelType w:val="hybridMultilevel"/>
    <w:tmpl w:val="7270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33802"/>
    <w:multiLevelType w:val="hybridMultilevel"/>
    <w:tmpl w:val="9852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F6D8D"/>
    <w:multiLevelType w:val="hybridMultilevel"/>
    <w:tmpl w:val="C92A0210"/>
    <w:lvl w:ilvl="0" w:tplc="570AA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6692B"/>
    <w:multiLevelType w:val="hybridMultilevel"/>
    <w:tmpl w:val="E612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8310A"/>
    <w:multiLevelType w:val="hybridMultilevel"/>
    <w:tmpl w:val="FAC03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26816"/>
    <w:multiLevelType w:val="hybridMultilevel"/>
    <w:tmpl w:val="B9FA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849CC"/>
    <w:multiLevelType w:val="hybridMultilevel"/>
    <w:tmpl w:val="C95EAF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51"/>
    <w:rsid w:val="000203DF"/>
    <w:rsid w:val="000C7BA6"/>
    <w:rsid w:val="000E7F51"/>
    <w:rsid w:val="00131259"/>
    <w:rsid w:val="00154811"/>
    <w:rsid w:val="00193D49"/>
    <w:rsid w:val="00210B04"/>
    <w:rsid w:val="002F7C06"/>
    <w:rsid w:val="003A692B"/>
    <w:rsid w:val="003B7AF2"/>
    <w:rsid w:val="003C2DE9"/>
    <w:rsid w:val="003C3DB4"/>
    <w:rsid w:val="00401D92"/>
    <w:rsid w:val="00480C20"/>
    <w:rsid w:val="004A769E"/>
    <w:rsid w:val="00547747"/>
    <w:rsid w:val="006D192F"/>
    <w:rsid w:val="007A7546"/>
    <w:rsid w:val="007B614F"/>
    <w:rsid w:val="00833363"/>
    <w:rsid w:val="00853F9D"/>
    <w:rsid w:val="008B0B73"/>
    <w:rsid w:val="008C7489"/>
    <w:rsid w:val="00934E54"/>
    <w:rsid w:val="00953992"/>
    <w:rsid w:val="00960CC6"/>
    <w:rsid w:val="00985659"/>
    <w:rsid w:val="009D1B1E"/>
    <w:rsid w:val="00A0282B"/>
    <w:rsid w:val="00A545E8"/>
    <w:rsid w:val="00A61503"/>
    <w:rsid w:val="00A857F3"/>
    <w:rsid w:val="00D4716D"/>
    <w:rsid w:val="00DC41A7"/>
    <w:rsid w:val="00F3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F2E1"/>
  <w14:defaultImageDpi w14:val="32767"/>
  <w15:docId w15:val="{055232A6-ED43-48D4-9AB2-4D3DEC4C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51"/>
    <w:pPr>
      <w:ind w:left="720"/>
      <w:contextualSpacing/>
    </w:pPr>
  </w:style>
  <w:style w:type="table" w:styleId="TableGrid">
    <w:name w:val="Table Grid"/>
    <w:basedOn w:val="TableNormal"/>
    <w:uiPriority w:val="1"/>
    <w:rsid w:val="000E7F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768157447msonormal">
    <w:name w:val="yiv6768157447msonormal"/>
    <w:basedOn w:val="Normal"/>
    <w:rsid w:val="002F7C0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6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C6"/>
    <w:rPr>
      <w:rFonts w:ascii="Segoe UI" w:hAnsi="Segoe UI" w:cs="Segoe UI"/>
      <w:sz w:val="18"/>
      <w:szCs w:val="18"/>
    </w:rPr>
  </w:style>
  <w:style w:type="character" w:styleId="Hyperlink">
    <w:name w:val="Hyperlink"/>
    <w:basedOn w:val="DefaultParagraphFont"/>
    <w:uiPriority w:val="99"/>
    <w:unhideWhenUsed/>
    <w:rsid w:val="007B6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colndioces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McQuillan Johnson</dc:creator>
  <cp:lastModifiedBy>Linda Monahan</cp:lastModifiedBy>
  <cp:revision>2</cp:revision>
  <cp:lastPrinted>2020-01-29T20:00:00Z</cp:lastPrinted>
  <dcterms:created xsi:type="dcterms:W3CDTF">2020-01-29T20:57:00Z</dcterms:created>
  <dcterms:modified xsi:type="dcterms:W3CDTF">2020-01-29T20:57:00Z</dcterms:modified>
</cp:coreProperties>
</file>