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A9" w:rsidRPr="00100763" w:rsidRDefault="008D022D" w:rsidP="00062DA9">
      <w:pPr>
        <w:rPr>
          <w:rFonts w:cs="Arial"/>
          <w:color w:val="000000"/>
          <w:sz w:val="22"/>
          <w:szCs w:val="22"/>
          <w:u w:val="single"/>
        </w:rPr>
      </w:pPr>
      <w:bookmarkStart w:id="0" w:name="_GoBack"/>
      <w:bookmarkEnd w:id="0"/>
      <w:r w:rsidRPr="00100763">
        <w:rPr>
          <w:noProof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07916872" wp14:editId="7060868C">
            <wp:simplePos x="0" y="0"/>
            <wp:positionH relativeFrom="page">
              <wp:posOffset>257175</wp:posOffset>
            </wp:positionH>
            <wp:positionV relativeFrom="page">
              <wp:posOffset>209550</wp:posOffset>
            </wp:positionV>
            <wp:extent cx="7153275" cy="1200150"/>
            <wp:effectExtent l="0" t="0" r="9525" b="0"/>
            <wp:wrapThrough wrapText="bothSides">
              <wp:wrapPolygon edited="0">
                <wp:start x="0" y="0"/>
                <wp:lineTo x="0" y="21257"/>
                <wp:lineTo x="21571" y="21257"/>
                <wp:lineTo x="21571" y="0"/>
                <wp:lineTo x="0" y="0"/>
              </wp:wrapPolygon>
            </wp:wrapThrough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44" w:rsidRPr="00100763">
        <w:rPr>
          <w:rFonts w:cs="Arial"/>
          <w:color w:val="000000"/>
          <w:sz w:val="32"/>
          <w:szCs w:val="22"/>
          <w:u w:val="single"/>
        </w:rPr>
        <w:t>Good Shepherd Scholarship Announcement – 2020-2021 School Year</w:t>
      </w:r>
    </w:p>
    <w:p w:rsidR="00592FCC" w:rsidRDefault="00CF0B44" w:rsidP="00062DA9">
      <w:pPr>
        <w:rPr>
          <w:rFonts w:cs="Arial"/>
          <w:color w:val="000000"/>
          <w:sz w:val="22"/>
          <w:szCs w:val="22"/>
        </w:rPr>
      </w:pPr>
      <w:r w:rsidRPr="00100763">
        <w:rPr>
          <w:rFonts w:cs="Arial"/>
          <w:color w:val="000000"/>
          <w:sz w:val="22"/>
          <w:szCs w:val="22"/>
        </w:rPr>
        <w:t xml:space="preserve">We are pleased to announce that </w:t>
      </w:r>
      <w:r w:rsidR="00100763">
        <w:rPr>
          <w:rFonts w:cs="Arial"/>
          <w:color w:val="000000"/>
          <w:sz w:val="22"/>
          <w:szCs w:val="22"/>
        </w:rPr>
        <w:t>the Lincoln Diocese</w:t>
      </w:r>
      <w:r w:rsidR="00592FCC">
        <w:rPr>
          <w:rFonts w:cs="Arial"/>
          <w:color w:val="000000"/>
          <w:sz w:val="22"/>
          <w:szCs w:val="22"/>
        </w:rPr>
        <w:t xml:space="preserve"> will </w:t>
      </w:r>
      <w:r w:rsidR="009B775B">
        <w:rPr>
          <w:rFonts w:cs="Arial"/>
          <w:color w:val="000000"/>
          <w:sz w:val="22"/>
          <w:szCs w:val="22"/>
        </w:rPr>
        <w:t xml:space="preserve">continue to </w:t>
      </w:r>
      <w:r w:rsidR="00592FCC">
        <w:rPr>
          <w:rFonts w:cs="Arial"/>
          <w:color w:val="000000"/>
          <w:sz w:val="22"/>
          <w:szCs w:val="22"/>
        </w:rPr>
        <w:t>offer</w:t>
      </w:r>
      <w:r w:rsidRPr="00100763">
        <w:rPr>
          <w:rFonts w:cs="Arial"/>
          <w:color w:val="000000"/>
          <w:sz w:val="22"/>
          <w:szCs w:val="22"/>
        </w:rPr>
        <w:t xml:space="preserve"> Good Shepherd</w:t>
      </w:r>
      <w:r w:rsidR="009B775B">
        <w:rPr>
          <w:rFonts w:cs="Arial"/>
          <w:color w:val="000000"/>
          <w:sz w:val="22"/>
          <w:szCs w:val="22"/>
        </w:rPr>
        <w:t xml:space="preserve"> Scholarships for the 2020-2021 </w:t>
      </w:r>
      <w:r w:rsidRPr="00100763">
        <w:rPr>
          <w:rFonts w:cs="Arial"/>
          <w:color w:val="000000"/>
          <w:sz w:val="22"/>
          <w:szCs w:val="22"/>
        </w:rPr>
        <w:t xml:space="preserve">school year for students </w:t>
      </w:r>
      <w:r w:rsidR="00100763">
        <w:rPr>
          <w:rFonts w:cs="Arial"/>
          <w:color w:val="000000"/>
          <w:sz w:val="22"/>
          <w:szCs w:val="22"/>
        </w:rPr>
        <w:t>that attend</w:t>
      </w:r>
      <w:r w:rsidRPr="00100763">
        <w:rPr>
          <w:rFonts w:cs="Arial"/>
          <w:color w:val="000000"/>
          <w:sz w:val="22"/>
          <w:szCs w:val="22"/>
        </w:rPr>
        <w:t xml:space="preserve"> Dioces</w:t>
      </w:r>
      <w:r w:rsidR="00100763">
        <w:rPr>
          <w:rFonts w:cs="Arial"/>
          <w:color w:val="000000"/>
          <w:sz w:val="22"/>
          <w:szCs w:val="22"/>
        </w:rPr>
        <w:t>an</w:t>
      </w:r>
      <w:r w:rsidRPr="00100763">
        <w:rPr>
          <w:rFonts w:cs="Arial"/>
          <w:color w:val="000000"/>
          <w:sz w:val="22"/>
          <w:szCs w:val="22"/>
        </w:rPr>
        <w:t xml:space="preserve"> Catholic Schools.   </w:t>
      </w:r>
      <w:r w:rsidR="00E763B8">
        <w:rPr>
          <w:rFonts w:cs="Arial"/>
          <w:color w:val="000000"/>
          <w:sz w:val="22"/>
          <w:szCs w:val="22"/>
        </w:rPr>
        <w:t>In 2019</w:t>
      </w:r>
      <w:r w:rsidRPr="00100763">
        <w:rPr>
          <w:rFonts w:cs="Arial"/>
          <w:color w:val="000000"/>
          <w:sz w:val="22"/>
          <w:szCs w:val="22"/>
        </w:rPr>
        <w:t xml:space="preserve"> the Lincoln Diocese awarded</w:t>
      </w:r>
      <w:r w:rsidR="00592FCC">
        <w:rPr>
          <w:rFonts w:cs="Arial"/>
          <w:color w:val="000000"/>
          <w:sz w:val="22"/>
          <w:szCs w:val="22"/>
        </w:rPr>
        <w:t>:</w:t>
      </w:r>
    </w:p>
    <w:p w:rsidR="00592FCC" w:rsidRDefault="00592FCC" w:rsidP="00062DA9">
      <w:pPr>
        <w:rPr>
          <w:rFonts w:cs="Arial"/>
          <w:color w:val="000000"/>
          <w:sz w:val="22"/>
          <w:szCs w:val="22"/>
        </w:rPr>
      </w:pPr>
    </w:p>
    <w:p w:rsidR="00592FCC" w:rsidRPr="00592FCC" w:rsidRDefault="00CF0B44" w:rsidP="00592FCC">
      <w:pPr>
        <w:pStyle w:val="ListParagraph"/>
        <w:numPr>
          <w:ilvl w:val="0"/>
          <w:numId w:val="17"/>
        </w:numPr>
        <w:rPr>
          <w:rFonts w:cs="Arial"/>
          <w:color w:val="000000"/>
          <w:sz w:val="22"/>
          <w:szCs w:val="22"/>
        </w:rPr>
      </w:pPr>
      <w:r w:rsidRPr="00592FCC">
        <w:rPr>
          <w:rFonts w:cs="Arial"/>
          <w:color w:val="000000"/>
          <w:sz w:val="22"/>
          <w:szCs w:val="22"/>
        </w:rPr>
        <w:t>$1.2 million</w:t>
      </w:r>
      <w:r w:rsidR="00592FCC" w:rsidRPr="00592FCC">
        <w:rPr>
          <w:rFonts w:cs="Arial"/>
          <w:color w:val="000000"/>
          <w:sz w:val="22"/>
          <w:szCs w:val="22"/>
        </w:rPr>
        <w:t xml:space="preserve"> in </w:t>
      </w:r>
      <w:r w:rsidR="00592FCC">
        <w:rPr>
          <w:rFonts w:cs="Arial"/>
          <w:color w:val="000000"/>
          <w:sz w:val="22"/>
          <w:szCs w:val="22"/>
        </w:rPr>
        <w:t xml:space="preserve">Good Shepherd and Family Tuition Cap </w:t>
      </w:r>
      <w:r w:rsidR="00592FCC" w:rsidRPr="00592FCC">
        <w:rPr>
          <w:rFonts w:cs="Arial"/>
          <w:color w:val="000000"/>
          <w:sz w:val="22"/>
          <w:szCs w:val="22"/>
        </w:rPr>
        <w:t>S</w:t>
      </w:r>
      <w:r w:rsidR="00E763B8" w:rsidRPr="00592FCC">
        <w:rPr>
          <w:rFonts w:cs="Arial"/>
          <w:color w:val="000000"/>
          <w:sz w:val="22"/>
          <w:szCs w:val="22"/>
        </w:rPr>
        <w:t xml:space="preserve">cholarships </w:t>
      </w:r>
    </w:p>
    <w:p w:rsidR="00592FCC" w:rsidRPr="00592FCC" w:rsidRDefault="00CF0B44" w:rsidP="00592FCC">
      <w:pPr>
        <w:pStyle w:val="ListParagraph"/>
        <w:numPr>
          <w:ilvl w:val="0"/>
          <w:numId w:val="17"/>
        </w:numPr>
        <w:rPr>
          <w:rFonts w:cs="Arial"/>
          <w:color w:val="000000"/>
          <w:sz w:val="22"/>
          <w:szCs w:val="22"/>
        </w:rPr>
      </w:pPr>
      <w:r w:rsidRPr="00592FCC">
        <w:rPr>
          <w:rFonts w:cs="Arial"/>
          <w:color w:val="000000"/>
          <w:sz w:val="22"/>
          <w:szCs w:val="22"/>
        </w:rPr>
        <w:t>1,18</w:t>
      </w:r>
      <w:r w:rsidR="00100763" w:rsidRPr="00592FCC">
        <w:rPr>
          <w:rFonts w:cs="Arial"/>
          <w:color w:val="000000"/>
          <w:sz w:val="22"/>
          <w:szCs w:val="22"/>
        </w:rPr>
        <w:t>0</w:t>
      </w:r>
      <w:r w:rsidRPr="00592FCC">
        <w:rPr>
          <w:rFonts w:cs="Arial"/>
          <w:color w:val="000000"/>
          <w:sz w:val="22"/>
          <w:szCs w:val="22"/>
        </w:rPr>
        <w:t xml:space="preserve"> </w:t>
      </w:r>
      <w:r w:rsidR="00592FCC">
        <w:rPr>
          <w:rFonts w:cs="Arial"/>
          <w:color w:val="000000"/>
          <w:sz w:val="22"/>
          <w:szCs w:val="22"/>
        </w:rPr>
        <w:t>Catholic School S</w:t>
      </w:r>
      <w:r w:rsidRPr="00592FCC">
        <w:rPr>
          <w:rFonts w:cs="Arial"/>
          <w:color w:val="000000"/>
          <w:sz w:val="22"/>
          <w:szCs w:val="22"/>
        </w:rPr>
        <w:t>tudents</w:t>
      </w:r>
      <w:r w:rsidR="00592FCC">
        <w:rPr>
          <w:rFonts w:cs="Arial"/>
          <w:color w:val="000000"/>
          <w:sz w:val="22"/>
          <w:szCs w:val="22"/>
        </w:rPr>
        <w:t xml:space="preserve"> Received Scholarsh</w:t>
      </w:r>
      <w:r w:rsidR="00122949">
        <w:rPr>
          <w:rFonts w:cs="Arial"/>
          <w:color w:val="000000"/>
          <w:sz w:val="22"/>
          <w:szCs w:val="22"/>
        </w:rPr>
        <w:t>i</w:t>
      </w:r>
      <w:r w:rsidR="00592FCC">
        <w:rPr>
          <w:rFonts w:cs="Arial"/>
          <w:color w:val="000000"/>
          <w:sz w:val="22"/>
          <w:szCs w:val="22"/>
        </w:rPr>
        <w:t>ps</w:t>
      </w:r>
      <w:r w:rsidRPr="00592FCC">
        <w:rPr>
          <w:rFonts w:cs="Arial"/>
          <w:color w:val="000000"/>
          <w:sz w:val="22"/>
          <w:szCs w:val="22"/>
        </w:rPr>
        <w:t xml:space="preserve"> </w:t>
      </w:r>
    </w:p>
    <w:p w:rsidR="00CF0B44" w:rsidRPr="00592FCC" w:rsidRDefault="00592FCC" w:rsidP="00592FCC">
      <w:pPr>
        <w:pStyle w:val="ListParagraph"/>
        <w:numPr>
          <w:ilvl w:val="0"/>
          <w:numId w:val="17"/>
        </w:numPr>
        <w:rPr>
          <w:rFonts w:cs="Arial"/>
          <w:color w:val="000000"/>
          <w:sz w:val="22"/>
          <w:szCs w:val="22"/>
        </w:rPr>
      </w:pPr>
      <w:r w:rsidRPr="00592FCC">
        <w:rPr>
          <w:rFonts w:cs="Arial"/>
          <w:color w:val="000000"/>
          <w:sz w:val="22"/>
          <w:szCs w:val="22"/>
        </w:rPr>
        <w:t xml:space="preserve">15% of </w:t>
      </w:r>
      <w:r>
        <w:rPr>
          <w:rFonts w:cs="Arial"/>
          <w:color w:val="000000"/>
          <w:sz w:val="22"/>
          <w:szCs w:val="22"/>
        </w:rPr>
        <w:t xml:space="preserve">Catholic School </w:t>
      </w:r>
      <w:r w:rsidRPr="00592FCC">
        <w:rPr>
          <w:rFonts w:cs="Arial"/>
          <w:color w:val="000000"/>
          <w:sz w:val="22"/>
          <w:szCs w:val="22"/>
        </w:rPr>
        <w:t xml:space="preserve">Students  </w:t>
      </w:r>
      <w:r>
        <w:rPr>
          <w:rFonts w:cs="Arial"/>
          <w:color w:val="000000"/>
          <w:sz w:val="22"/>
          <w:szCs w:val="22"/>
        </w:rPr>
        <w:t>Received Scholarships</w:t>
      </w:r>
    </w:p>
    <w:p w:rsidR="00CF0B44" w:rsidRPr="00100763" w:rsidRDefault="00CF0B44" w:rsidP="00062DA9">
      <w:pPr>
        <w:rPr>
          <w:rFonts w:cs="Arial"/>
          <w:color w:val="000000"/>
          <w:sz w:val="22"/>
          <w:szCs w:val="22"/>
        </w:rPr>
      </w:pPr>
    </w:p>
    <w:p w:rsidR="00CF0B44" w:rsidRPr="00100763" w:rsidRDefault="00CF0B44" w:rsidP="00062DA9">
      <w:pPr>
        <w:rPr>
          <w:rFonts w:cs="Arial"/>
          <w:color w:val="000000"/>
          <w:sz w:val="22"/>
          <w:szCs w:val="22"/>
        </w:rPr>
      </w:pPr>
      <w:r w:rsidRPr="00100763">
        <w:rPr>
          <w:rFonts w:cs="Arial"/>
          <w:color w:val="000000"/>
          <w:sz w:val="22"/>
          <w:szCs w:val="22"/>
        </w:rPr>
        <w:t xml:space="preserve">The Good Shepherd Scholarship </w:t>
      </w:r>
      <w:r w:rsidR="00F233B5">
        <w:rPr>
          <w:rFonts w:cs="Arial"/>
          <w:color w:val="000000"/>
          <w:sz w:val="22"/>
          <w:szCs w:val="22"/>
        </w:rPr>
        <w:t xml:space="preserve">and the Family Tuition Cap Scholarship </w:t>
      </w:r>
      <w:r w:rsidRPr="00100763">
        <w:rPr>
          <w:rFonts w:cs="Arial"/>
          <w:color w:val="000000"/>
          <w:sz w:val="22"/>
          <w:szCs w:val="22"/>
        </w:rPr>
        <w:t xml:space="preserve">will increase to $1,300 for grades K-8 and $1,600 for grades 9-12 and will cover families within 225% of the Federal Poverty Level.  The Family Tuition Cap Scholarship will </w:t>
      </w:r>
      <w:r w:rsidR="00F233B5">
        <w:rPr>
          <w:rFonts w:cs="Arial"/>
          <w:color w:val="000000"/>
          <w:sz w:val="22"/>
          <w:szCs w:val="22"/>
        </w:rPr>
        <w:t>be offered again,</w:t>
      </w:r>
      <w:r w:rsidRPr="00100763">
        <w:rPr>
          <w:rFonts w:cs="Arial"/>
          <w:color w:val="000000"/>
          <w:sz w:val="22"/>
          <w:szCs w:val="22"/>
        </w:rPr>
        <w:t xml:space="preserve"> to families with more than three students enrolled in Lincoln Diocese Catholic Schools</w:t>
      </w:r>
      <w:r w:rsidR="00F233B5">
        <w:rPr>
          <w:rFonts w:cs="Arial"/>
          <w:color w:val="000000"/>
          <w:sz w:val="22"/>
          <w:szCs w:val="22"/>
        </w:rPr>
        <w:t>.  F</w:t>
      </w:r>
      <w:r w:rsidRPr="00100763">
        <w:rPr>
          <w:rFonts w:cs="Arial"/>
          <w:color w:val="000000"/>
          <w:sz w:val="22"/>
          <w:szCs w:val="22"/>
        </w:rPr>
        <w:t>amilies</w:t>
      </w:r>
      <w:r w:rsidR="00F233B5">
        <w:rPr>
          <w:rFonts w:cs="Arial"/>
          <w:color w:val="000000"/>
          <w:sz w:val="22"/>
          <w:szCs w:val="22"/>
        </w:rPr>
        <w:t xml:space="preserve"> who apply</w:t>
      </w:r>
      <w:r w:rsidRPr="00100763">
        <w:rPr>
          <w:rFonts w:cs="Arial"/>
          <w:color w:val="000000"/>
          <w:sz w:val="22"/>
          <w:szCs w:val="22"/>
        </w:rPr>
        <w:t xml:space="preserve"> will only pay tuition for the first three students</w:t>
      </w:r>
      <w:r w:rsidR="00F233B5">
        <w:rPr>
          <w:rFonts w:cs="Arial"/>
          <w:color w:val="000000"/>
          <w:sz w:val="22"/>
          <w:szCs w:val="22"/>
        </w:rPr>
        <w:t>.</w:t>
      </w:r>
      <w:r w:rsidRPr="00100763">
        <w:rPr>
          <w:rFonts w:cs="Arial"/>
          <w:color w:val="000000"/>
          <w:sz w:val="22"/>
          <w:szCs w:val="22"/>
        </w:rPr>
        <w:t xml:space="preserve">  To </w:t>
      </w:r>
      <w:r w:rsidR="00100763">
        <w:rPr>
          <w:rFonts w:cs="Arial"/>
          <w:color w:val="000000"/>
          <w:sz w:val="22"/>
          <w:szCs w:val="22"/>
        </w:rPr>
        <w:t>be eligible for</w:t>
      </w:r>
      <w:r w:rsidRPr="00100763">
        <w:rPr>
          <w:rFonts w:cs="Arial"/>
          <w:color w:val="000000"/>
          <w:sz w:val="22"/>
          <w:szCs w:val="22"/>
        </w:rPr>
        <w:t xml:space="preserve"> the Good Shepherd Scholarship or the </w:t>
      </w:r>
      <w:r w:rsidR="00100763">
        <w:rPr>
          <w:rFonts w:cs="Arial"/>
          <w:color w:val="000000"/>
          <w:sz w:val="22"/>
          <w:szCs w:val="22"/>
        </w:rPr>
        <w:t xml:space="preserve">Family </w:t>
      </w:r>
      <w:r w:rsidRPr="00100763">
        <w:rPr>
          <w:rFonts w:cs="Arial"/>
          <w:color w:val="000000"/>
          <w:sz w:val="22"/>
          <w:szCs w:val="22"/>
        </w:rPr>
        <w:t xml:space="preserve">Tuition Cap Scholarship, families must apply through the FACTS Scholarship Management program.  </w:t>
      </w:r>
      <w:r w:rsidR="00100763">
        <w:rPr>
          <w:rFonts w:cs="Arial"/>
          <w:color w:val="000000"/>
          <w:sz w:val="22"/>
          <w:szCs w:val="22"/>
        </w:rPr>
        <w:t xml:space="preserve"> </w:t>
      </w:r>
      <w:r w:rsidR="00226739">
        <w:rPr>
          <w:rFonts w:cs="Arial"/>
          <w:color w:val="000000"/>
          <w:sz w:val="22"/>
          <w:szCs w:val="22"/>
        </w:rPr>
        <w:t xml:space="preserve">Any family may apply, regardless of religious affiliation.  </w:t>
      </w:r>
      <w:r w:rsidR="00100763">
        <w:rPr>
          <w:rFonts w:cs="Arial"/>
          <w:color w:val="000000"/>
          <w:sz w:val="22"/>
          <w:szCs w:val="22"/>
        </w:rPr>
        <w:t xml:space="preserve">Applications will be accepted from January 1, 2020 to March 30, 2020.  </w:t>
      </w:r>
      <w:r w:rsidRPr="00100763">
        <w:rPr>
          <w:rFonts w:cs="Arial"/>
          <w:color w:val="000000"/>
          <w:sz w:val="22"/>
          <w:szCs w:val="22"/>
        </w:rPr>
        <w:t xml:space="preserve">To apply for Lincoln Diocese Scholarships, please go to </w:t>
      </w:r>
      <w:r w:rsidRPr="00100763">
        <w:rPr>
          <w:rFonts w:cs="Arial"/>
          <w:b/>
          <w:i/>
          <w:color w:val="000000"/>
          <w:sz w:val="22"/>
          <w:szCs w:val="22"/>
        </w:rPr>
        <w:t>www.goodshepherdsholarship.com</w:t>
      </w:r>
      <w:r w:rsidRPr="00100763">
        <w:rPr>
          <w:rFonts w:cs="Arial"/>
          <w:color w:val="000000"/>
          <w:sz w:val="22"/>
          <w:szCs w:val="22"/>
        </w:rPr>
        <w:t>.</w:t>
      </w:r>
    </w:p>
    <w:p w:rsidR="007451BE" w:rsidRPr="00100763" w:rsidRDefault="007451BE" w:rsidP="00062DA9">
      <w:pPr>
        <w:rPr>
          <w:rFonts w:cs="Arial"/>
          <w:color w:val="000000"/>
          <w:sz w:val="8"/>
          <w:szCs w:val="22"/>
        </w:rPr>
      </w:pPr>
    </w:p>
    <w:p w:rsidR="007451BE" w:rsidRPr="00100763" w:rsidRDefault="007451BE" w:rsidP="00062DA9">
      <w:pPr>
        <w:rPr>
          <w:rFonts w:eastAsia="Times New Roman" w:cs="Times New Roman"/>
          <w:sz w:val="14"/>
          <w:szCs w:val="22"/>
        </w:rPr>
      </w:pPr>
    </w:p>
    <w:p w:rsidR="00062DA9" w:rsidRPr="00100763" w:rsidRDefault="009F30C8" w:rsidP="00062DA9">
      <w:pPr>
        <w:rPr>
          <w:rFonts w:eastAsia="Times New Roman" w:cs="Times New Roman"/>
          <w:sz w:val="32"/>
          <w:szCs w:val="22"/>
          <w:u w:val="single"/>
        </w:rPr>
      </w:pPr>
      <w:r w:rsidRPr="00100763">
        <w:rPr>
          <w:rFonts w:eastAsia="Times New Roman" w:cs="Times New Roman"/>
          <w:sz w:val="32"/>
          <w:szCs w:val="22"/>
          <w:u w:val="single"/>
        </w:rPr>
        <w:t xml:space="preserve">2020-2021 </w:t>
      </w:r>
      <w:r w:rsidR="000650D4" w:rsidRPr="00100763">
        <w:rPr>
          <w:rFonts w:eastAsia="Times New Roman" w:cs="Times New Roman"/>
          <w:sz w:val="32"/>
          <w:szCs w:val="22"/>
          <w:u w:val="single"/>
        </w:rPr>
        <w:t>Good Shepherd Scholarship Overview</w:t>
      </w:r>
    </w:p>
    <w:p w:rsidR="00592FCC" w:rsidRDefault="004B493F" w:rsidP="00592FCC">
      <w:pPr>
        <w:pStyle w:val="ListParagraph"/>
        <w:numPr>
          <w:ilvl w:val="0"/>
          <w:numId w:val="12"/>
        </w:numPr>
        <w:rPr>
          <w:rFonts w:eastAsia="Times New Roman" w:cs="Times New Roman"/>
          <w:sz w:val="22"/>
          <w:szCs w:val="22"/>
        </w:rPr>
      </w:pPr>
      <w:r w:rsidRPr="009B775B">
        <w:rPr>
          <w:rFonts w:eastAsia="Times New Roman" w:cs="Times New Roman"/>
          <w:b/>
          <w:sz w:val="22"/>
          <w:szCs w:val="22"/>
        </w:rPr>
        <w:t>Good Shepherd Scholarship</w:t>
      </w:r>
      <w:r w:rsidR="00062DA9" w:rsidRPr="009B775B">
        <w:rPr>
          <w:rFonts w:eastAsia="Times New Roman" w:cs="Times New Roman"/>
          <w:sz w:val="22"/>
          <w:szCs w:val="22"/>
        </w:rPr>
        <w:t xml:space="preserve"> –</w:t>
      </w:r>
      <w:r w:rsidR="004E1439" w:rsidRPr="009B775B">
        <w:rPr>
          <w:rFonts w:eastAsia="Times New Roman" w:cs="Times New Roman"/>
          <w:sz w:val="22"/>
          <w:szCs w:val="22"/>
        </w:rPr>
        <w:t xml:space="preserve"> </w:t>
      </w:r>
      <w:r w:rsidRPr="009B775B">
        <w:rPr>
          <w:rFonts w:eastAsia="Times New Roman" w:cs="Times New Roman"/>
          <w:sz w:val="22"/>
          <w:szCs w:val="22"/>
        </w:rPr>
        <w:t>The Lincoln Diocese</w:t>
      </w:r>
      <w:r w:rsidR="004E1439" w:rsidRPr="009B775B">
        <w:rPr>
          <w:rFonts w:eastAsia="Times New Roman" w:cs="Times New Roman"/>
          <w:sz w:val="22"/>
          <w:szCs w:val="22"/>
        </w:rPr>
        <w:t xml:space="preserve"> will </w:t>
      </w:r>
      <w:r w:rsidR="004457B6">
        <w:rPr>
          <w:rFonts w:eastAsia="Times New Roman" w:cs="Times New Roman"/>
          <w:sz w:val="22"/>
          <w:szCs w:val="22"/>
        </w:rPr>
        <w:t xml:space="preserve">expand </w:t>
      </w:r>
      <w:r w:rsidR="008A0B9A" w:rsidRPr="009B775B">
        <w:rPr>
          <w:rFonts w:eastAsia="Times New Roman" w:cs="Times New Roman"/>
          <w:sz w:val="22"/>
          <w:szCs w:val="22"/>
        </w:rPr>
        <w:t>the qualifying guidelines</w:t>
      </w:r>
      <w:r w:rsidR="004457B6">
        <w:rPr>
          <w:rFonts w:eastAsia="Times New Roman" w:cs="Times New Roman"/>
          <w:sz w:val="22"/>
          <w:szCs w:val="22"/>
        </w:rPr>
        <w:t xml:space="preserve"> and increase the scholarship amount</w:t>
      </w:r>
      <w:r w:rsidR="008A0B9A" w:rsidRPr="009B775B">
        <w:rPr>
          <w:rFonts w:eastAsia="Times New Roman" w:cs="Times New Roman"/>
          <w:sz w:val="22"/>
          <w:szCs w:val="22"/>
        </w:rPr>
        <w:t xml:space="preserve"> for the </w:t>
      </w:r>
      <w:r w:rsidRPr="009B775B">
        <w:rPr>
          <w:rFonts w:eastAsia="Times New Roman" w:cs="Times New Roman"/>
          <w:sz w:val="22"/>
          <w:szCs w:val="22"/>
        </w:rPr>
        <w:t>Good Shepherd S</w:t>
      </w:r>
      <w:r w:rsidR="004E1439" w:rsidRPr="009B775B">
        <w:rPr>
          <w:rFonts w:eastAsia="Times New Roman" w:cs="Times New Roman"/>
          <w:sz w:val="22"/>
          <w:szCs w:val="22"/>
        </w:rPr>
        <w:t>cholar</w:t>
      </w:r>
      <w:r w:rsidRPr="009B775B">
        <w:rPr>
          <w:rFonts w:eastAsia="Times New Roman" w:cs="Times New Roman"/>
          <w:sz w:val="22"/>
          <w:szCs w:val="22"/>
        </w:rPr>
        <w:t xml:space="preserve">ship </w:t>
      </w:r>
      <w:r w:rsidR="009B775B">
        <w:rPr>
          <w:rFonts w:eastAsia="Times New Roman" w:cs="Times New Roman"/>
          <w:sz w:val="22"/>
          <w:szCs w:val="22"/>
        </w:rPr>
        <w:t>for the 2020-2021 School Year:</w:t>
      </w:r>
      <w:r w:rsidRPr="009B775B">
        <w:rPr>
          <w:rFonts w:eastAsia="Times New Roman" w:cs="Times New Roman"/>
          <w:sz w:val="22"/>
          <w:szCs w:val="22"/>
        </w:rPr>
        <w:t xml:space="preserve">  </w:t>
      </w:r>
    </w:p>
    <w:p w:rsidR="009B775B" w:rsidRDefault="009B775B" w:rsidP="009B775B">
      <w:pPr>
        <w:pStyle w:val="ListParagraph"/>
        <w:numPr>
          <w:ilvl w:val="1"/>
          <w:numId w:val="1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 Families within 225% of Federal Poverty Level</w:t>
      </w:r>
    </w:p>
    <w:p w:rsidR="009B775B" w:rsidRDefault="009B775B" w:rsidP="009B775B">
      <w:pPr>
        <w:pStyle w:val="ListParagraph"/>
        <w:numPr>
          <w:ilvl w:val="1"/>
          <w:numId w:val="12"/>
        </w:numPr>
        <w:rPr>
          <w:rFonts w:eastAsia="Times New Roman" w:cs="Times New Roman"/>
          <w:sz w:val="22"/>
          <w:szCs w:val="22"/>
        </w:rPr>
      </w:pPr>
      <w:r w:rsidRPr="00672C21">
        <w:rPr>
          <w:rFonts w:eastAsia="Times New Roman" w:cs="Times New Roman"/>
          <w:sz w:val="22"/>
          <w:szCs w:val="22"/>
        </w:rPr>
        <w:t>$1,300 for grades K-8</w:t>
      </w:r>
      <w:r w:rsidR="00672C21" w:rsidRPr="00672C21">
        <w:rPr>
          <w:rFonts w:eastAsia="Times New Roman" w:cs="Times New Roman"/>
          <w:sz w:val="22"/>
          <w:szCs w:val="22"/>
        </w:rPr>
        <w:t>;</w:t>
      </w:r>
      <w:r w:rsidR="00672C21">
        <w:rPr>
          <w:rFonts w:eastAsia="Times New Roman" w:cs="Times New Roman"/>
          <w:sz w:val="22"/>
          <w:szCs w:val="22"/>
        </w:rPr>
        <w:t xml:space="preserve"> </w:t>
      </w:r>
      <w:r w:rsidRPr="00672C21">
        <w:rPr>
          <w:rFonts w:eastAsia="Times New Roman" w:cs="Times New Roman"/>
          <w:sz w:val="22"/>
          <w:szCs w:val="22"/>
        </w:rPr>
        <w:t>$1,600 for grades 9-12</w:t>
      </w:r>
    </w:p>
    <w:p w:rsidR="009B775B" w:rsidRDefault="009B775B" w:rsidP="009B775B">
      <w:pPr>
        <w:pStyle w:val="ListParagraph"/>
        <w:numPr>
          <w:ilvl w:val="1"/>
          <w:numId w:val="1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</w:t>
      </w:r>
      <w:r w:rsidRPr="00384CA9">
        <w:rPr>
          <w:rFonts w:eastAsia="Times New Roman" w:cs="Times New Roman"/>
          <w:sz w:val="22"/>
          <w:szCs w:val="22"/>
        </w:rPr>
        <w:t>undin</w:t>
      </w:r>
      <w:r>
        <w:rPr>
          <w:rFonts w:eastAsia="Times New Roman" w:cs="Times New Roman"/>
          <w:sz w:val="22"/>
          <w:szCs w:val="22"/>
        </w:rPr>
        <w:t>g no more than 75% of tuition</w:t>
      </w:r>
    </w:p>
    <w:p w:rsidR="00071DA4" w:rsidRDefault="00071DA4" w:rsidP="009B775B">
      <w:pPr>
        <w:pStyle w:val="ListParagraph"/>
        <w:numPr>
          <w:ilvl w:val="1"/>
          <w:numId w:val="1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All enrolled students in a family are awarded a scholarship</w:t>
      </w:r>
      <w:r w:rsidR="001D5BB9">
        <w:rPr>
          <w:rFonts w:eastAsia="Times New Roman" w:cs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 xml:space="preserve">if the family </w:t>
      </w:r>
      <w:r w:rsidR="001D5BB9">
        <w:rPr>
          <w:rFonts w:eastAsia="Times New Roman" w:cs="Times New Roman"/>
          <w:sz w:val="22"/>
          <w:szCs w:val="22"/>
        </w:rPr>
        <w:t>is eligible</w:t>
      </w:r>
      <w:r>
        <w:rPr>
          <w:rFonts w:eastAsia="Times New Roman" w:cs="Times New Roman"/>
          <w:sz w:val="22"/>
          <w:szCs w:val="22"/>
        </w:rPr>
        <w:t>.</w:t>
      </w:r>
    </w:p>
    <w:p w:rsidR="00672C21" w:rsidRDefault="00672C21" w:rsidP="009B775B">
      <w:pPr>
        <w:pStyle w:val="ListParagraph"/>
        <w:numPr>
          <w:ilvl w:val="1"/>
          <w:numId w:val="1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Diocesan Technology Fee is added to scholarship.</w:t>
      </w:r>
    </w:p>
    <w:p w:rsidR="004B493F" w:rsidRPr="00100763" w:rsidRDefault="004B493F" w:rsidP="00CF0B44">
      <w:pPr>
        <w:pStyle w:val="ListParagraph"/>
        <w:numPr>
          <w:ilvl w:val="0"/>
          <w:numId w:val="12"/>
        </w:numPr>
        <w:rPr>
          <w:rFonts w:eastAsia="Times New Roman" w:cs="Times New Roman"/>
          <w:b/>
          <w:sz w:val="22"/>
          <w:szCs w:val="22"/>
        </w:rPr>
      </w:pPr>
      <w:r w:rsidRPr="00100763">
        <w:rPr>
          <w:rFonts w:eastAsia="Times New Roman" w:cs="Times New Roman"/>
          <w:b/>
          <w:sz w:val="22"/>
          <w:szCs w:val="22"/>
        </w:rPr>
        <w:t xml:space="preserve">The Good Shepherd Scholarship Income </w:t>
      </w:r>
      <w:r w:rsidR="001D5BB9">
        <w:rPr>
          <w:rFonts w:eastAsia="Times New Roman" w:cs="Times New Roman"/>
          <w:b/>
          <w:sz w:val="22"/>
          <w:szCs w:val="22"/>
        </w:rPr>
        <w:t xml:space="preserve">Eligibility </w:t>
      </w:r>
      <w:r w:rsidRPr="00100763">
        <w:rPr>
          <w:rFonts w:eastAsia="Times New Roman" w:cs="Times New Roman"/>
          <w:b/>
          <w:sz w:val="22"/>
          <w:szCs w:val="22"/>
        </w:rPr>
        <w:t>Guidelines for 2020-2021:</w:t>
      </w:r>
    </w:p>
    <w:p w:rsidR="008A0B9A" w:rsidRPr="00100763" w:rsidRDefault="008A0B9A" w:rsidP="008A0B9A">
      <w:pPr>
        <w:pStyle w:val="ListParagraph"/>
        <w:ind w:left="0"/>
        <w:rPr>
          <w:rFonts w:eastAsia="Times New Roman" w:cs="Times New Roman"/>
          <w:b/>
          <w:sz w:val="1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895"/>
      </w:tblGrid>
      <w:tr w:rsidR="007451BE" w:rsidRPr="00100763" w:rsidTr="00DD1DBB">
        <w:trPr>
          <w:trHeight w:val="300"/>
          <w:jc w:val="center"/>
        </w:trPr>
        <w:tc>
          <w:tcPr>
            <w:tcW w:w="4415" w:type="dxa"/>
            <w:gridSpan w:val="2"/>
            <w:shd w:val="clear" w:color="auto" w:fill="808080" w:themeFill="background1" w:themeFillShade="80"/>
            <w:noWrap/>
          </w:tcPr>
          <w:p w:rsidR="007451BE" w:rsidRPr="00100763" w:rsidRDefault="007451BE" w:rsidP="008A0B9A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</w:rPr>
              <w:t>Good Shepherd Scholarship</w:t>
            </w:r>
          </w:p>
        </w:tc>
      </w:tr>
      <w:tr w:rsidR="007451BE" w:rsidRPr="00100763" w:rsidTr="00DD1DBB">
        <w:trPr>
          <w:trHeight w:val="300"/>
          <w:jc w:val="center"/>
        </w:trPr>
        <w:tc>
          <w:tcPr>
            <w:tcW w:w="4415" w:type="dxa"/>
            <w:gridSpan w:val="2"/>
            <w:shd w:val="clear" w:color="auto" w:fill="808080" w:themeFill="background1" w:themeFillShade="80"/>
            <w:noWrap/>
          </w:tcPr>
          <w:p w:rsidR="007451BE" w:rsidRPr="00100763" w:rsidRDefault="007451BE" w:rsidP="008A0B9A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Income Guidelines </w:t>
            </w:r>
            <w:r w:rsidR="009C6957" w:rsidRPr="00100763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</w:rPr>
              <w:t>– 225% of Poverty Level</w:t>
            </w:r>
          </w:p>
        </w:tc>
      </w:tr>
      <w:tr w:rsidR="008A0B9A" w:rsidRPr="00100763" w:rsidTr="00DD1DBB">
        <w:trPr>
          <w:trHeight w:val="300"/>
          <w:jc w:val="center"/>
        </w:trPr>
        <w:tc>
          <w:tcPr>
            <w:tcW w:w="2520" w:type="dxa"/>
            <w:shd w:val="clear" w:color="auto" w:fill="F2F2F2" w:themeFill="background1" w:themeFillShade="F2"/>
            <w:noWrap/>
            <w:hideMark/>
          </w:tcPr>
          <w:p w:rsidR="008A0B9A" w:rsidRPr="00100763" w:rsidRDefault="00EE642A" w:rsidP="008A0B9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bCs/>
                <w:sz w:val="22"/>
                <w:szCs w:val="22"/>
              </w:rPr>
              <w:t>Household Size</w:t>
            </w:r>
          </w:p>
        </w:tc>
        <w:tc>
          <w:tcPr>
            <w:tcW w:w="1895" w:type="dxa"/>
            <w:shd w:val="clear" w:color="auto" w:fill="F2F2F2" w:themeFill="background1" w:themeFillShade="F2"/>
            <w:noWrap/>
            <w:hideMark/>
          </w:tcPr>
          <w:p w:rsidR="008A0B9A" w:rsidRPr="00100763" w:rsidRDefault="008A0B9A" w:rsidP="008A0B9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bCs/>
                <w:sz w:val="22"/>
                <w:szCs w:val="22"/>
              </w:rPr>
              <w:t>AGI</w:t>
            </w:r>
          </w:p>
        </w:tc>
      </w:tr>
      <w:tr w:rsidR="008A0B9A" w:rsidRPr="00100763" w:rsidTr="00DD1DBB">
        <w:trPr>
          <w:trHeight w:val="300"/>
          <w:jc w:val="center"/>
        </w:trPr>
        <w:tc>
          <w:tcPr>
            <w:tcW w:w="2520" w:type="dxa"/>
            <w:noWrap/>
            <w:hideMark/>
          </w:tcPr>
          <w:p w:rsidR="008A0B9A" w:rsidRPr="00100763" w:rsidRDefault="008A0B9A" w:rsidP="00DD1DB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95" w:type="dxa"/>
            <w:noWrap/>
            <w:hideMark/>
          </w:tcPr>
          <w:p w:rsidR="008A0B9A" w:rsidRPr="00100763" w:rsidRDefault="008A0B9A" w:rsidP="008A0B9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$38,048</w:t>
            </w:r>
          </w:p>
        </w:tc>
      </w:tr>
      <w:tr w:rsidR="008A0B9A" w:rsidRPr="00100763" w:rsidTr="00DD1DBB">
        <w:trPr>
          <w:trHeight w:val="300"/>
          <w:jc w:val="center"/>
        </w:trPr>
        <w:tc>
          <w:tcPr>
            <w:tcW w:w="2520" w:type="dxa"/>
            <w:noWrap/>
            <w:hideMark/>
          </w:tcPr>
          <w:p w:rsidR="008A0B9A" w:rsidRPr="00100763" w:rsidRDefault="008A0B9A" w:rsidP="00DD1DB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5" w:type="dxa"/>
            <w:noWrap/>
            <w:hideMark/>
          </w:tcPr>
          <w:p w:rsidR="008A0B9A" w:rsidRPr="00100763" w:rsidRDefault="008A0B9A" w:rsidP="008A0B9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$47,993</w:t>
            </w:r>
          </w:p>
        </w:tc>
      </w:tr>
      <w:tr w:rsidR="008A0B9A" w:rsidRPr="00100763" w:rsidTr="00DD1DBB">
        <w:trPr>
          <w:trHeight w:val="300"/>
          <w:jc w:val="center"/>
        </w:trPr>
        <w:tc>
          <w:tcPr>
            <w:tcW w:w="2520" w:type="dxa"/>
            <w:noWrap/>
            <w:hideMark/>
          </w:tcPr>
          <w:p w:rsidR="008A0B9A" w:rsidRPr="00100763" w:rsidRDefault="008A0B9A" w:rsidP="00DD1DB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95" w:type="dxa"/>
            <w:noWrap/>
            <w:hideMark/>
          </w:tcPr>
          <w:p w:rsidR="008A0B9A" w:rsidRPr="00100763" w:rsidRDefault="008A0B9A" w:rsidP="008A0B9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$57,938</w:t>
            </w:r>
          </w:p>
        </w:tc>
      </w:tr>
      <w:tr w:rsidR="008A0B9A" w:rsidRPr="00100763" w:rsidTr="00DD1DBB">
        <w:trPr>
          <w:trHeight w:val="300"/>
          <w:jc w:val="center"/>
        </w:trPr>
        <w:tc>
          <w:tcPr>
            <w:tcW w:w="2520" w:type="dxa"/>
            <w:noWrap/>
            <w:hideMark/>
          </w:tcPr>
          <w:p w:rsidR="008A0B9A" w:rsidRPr="00100763" w:rsidRDefault="008A0B9A" w:rsidP="00DD1DB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895" w:type="dxa"/>
            <w:noWrap/>
            <w:hideMark/>
          </w:tcPr>
          <w:p w:rsidR="008A0B9A" w:rsidRPr="00100763" w:rsidRDefault="008A0B9A" w:rsidP="008A0B9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$67,883</w:t>
            </w:r>
          </w:p>
        </w:tc>
      </w:tr>
      <w:tr w:rsidR="008A0B9A" w:rsidRPr="00100763" w:rsidTr="00DD1DBB">
        <w:trPr>
          <w:trHeight w:val="300"/>
          <w:jc w:val="center"/>
        </w:trPr>
        <w:tc>
          <w:tcPr>
            <w:tcW w:w="2520" w:type="dxa"/>
            <w:noWrap/>
            <w:hideMark/>
          </w:tcPr>
          <w:p w:rsidR="008A0B9A" w:rsidRPr="00100763" w:rsidRDefault="008A0B9A" w:rsidP="00DD1DB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895" w:type="dxa"/>
            <w:noWrap/>
            <w:hideMark/>
          </w:tcPr>
          <w:p w:rsidR="008A0B9A" w:rsidRPr="00100763" w:rsidRDefault="008A0B9A" w:rsidP="008A0B9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$77,828</w:t>
            </w:r>
          </w:p>
        </w:tc>
      </w:tr>
      <w:tr w:rsidR="008A0B9A" w:rsidRPr="00100763" w:rsidTr="00DD1DBB">
        <w:trPr>
          <w:trHeight w:val="300"/>
          <w:jc w:val="center"/>
        </w:trPr>
        <w:tc>
          <w:tcPr>
            <w:tcW w:w="2520" w:type="dxa"/>
            <w:noWrap/>
            <w:hideMark/>
          </w:tcPr>
          <w:p w:rsidR="008A0B9A" w:rsidRPr="00100763" w:rsidRDefault="008A0B9A" w:rsidP="00DD1DB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895" w:type="dxa"/>
            <w:noWrap/>
            <w:hideMark/>
          </w:tcPr>
          <w:p w:rsidR="008A0B9A" w:rsidRPr="00100763" w:rsidRDefault="008A0B9A" w:rsidP="008A0B9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$87,773</w:t>
            </w:r>
          </w:p>
        </w:tc>
      </w:tr>
      <w:tr w:rsidR="008A0B9A" w:rsidRPr="00100763" w:rsidTr="00DD1DBB">
        <w:trPr>
          <w:trHeight w:val="300"/>
          <w:jc w:val="center"/>
        </w:trPr>
        <w:tc>
          <w:tcPr>
            <w:tcW w:w="2520" w:type="dxa"/>
            <w:noWrap/>
            <w:hideMark/>
          </w:tcPr>
          <w:p w:rsidR="008A0B9A" w:rsidRPr="00100763" w:rsidRDefault="008A0B9A" w:rsidP="00DD1DB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895" w:type="dxa"/>
            <w:noWrap/>
            <w:hideMark/>
          </w:tcPr>
          <w:p w:rsidR="008A0B9A" w:rsidRPr="00100763" w:rsidRDefault="008A0B9A" w:rsidP="008A0B9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$97,740</w:t>
            </w:r>
          </w:p>
        </w:tc>
      </w:tr>
      <w:tr w:rsidR="008A0B9A" w:rsidRPr="00100763" w:rsidTr="00DD1DBB">
        <w:trPr>
          <w:trHeight w:val="300"/>
          <w:jc w:val="center"/>
        </w:trPr>
        <w:tc>
          <w:tcPr>
            <w:tcW w:w="2520" w:type="dxa"/>
            <w:noWrap/>
            <w:hideMark/>
          </w:tcPr>
          <w:p w:rsidR="008A0B9A" w:rsidRPr="00100763" w:rsidRDefault="008A0B9A" w:rsidP="00DD1DB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895" w:type="dxa"/>
            <w:noWrap/>
            <w:hideMark/>
          </w:tcPr>
          <w:p w:rsidR="008A0B9A" w:rsidRPr="00100763" w:rsidRDefault="008A0B9A" w:rsidP="008A0B9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$107,685</w:t>
            </w:r>
          </w:p>
        </w:tc>
      </w:tr>
      <w:tr w:rsidR="008A0B9A" w:rsidRPr="00100763" w:rsidTr="00DD1DBB">
        <w:trPr>
          <w:trHeight w:val="300"/>
          <w:jc w:val="center"/>
        </w:trPr>
        <w:tc>
          <w:tcPr>
            <w:tcW w:w="2520" w:type="dxa"/>
            <w:noWrap/>
            <w:hideMark/>
          </w:tcPr>
          <w:p w:rsidR="008A0B9A" w:rsidRPr="00100763" w:rsidRDefault="008A0B9A" w:rsidP="00DD1DB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95" w:type="dxa"/>
            <w:noWrap/>
            <w:hideMark/>
          </w:tcPr>
          <w:p w:rsidR="008A0B9A" w:rsidRPr="00100763" w:rsidRDefault="008A0B9A" w:rsidP="008A0B9A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100763">
              <w:rPr>
                <w:rFonts w:eastAsia="Times New Roman" w:cs="Times New Roman"/>
                <w:b/>
                <w:sz w:val="22"/>
                <w:szCs w:val="22"/>
              </w:rPr>
              <w:t>$117,630</w:t>
            </w:r>
          </w:p>
        </w:tc>
      </w:tr>
    </w:tbl>
    <w:p w:rsidR="008A0B9A" w:rsidRPr="00100763" w:rsidRDefault="008A0B9A" w:rsidP="008A0B9A">
      <w:pPr>
        <w:rPr>
          <w:rFonts w:eastAsia="Times New Roman" w:cs="Times New Roman"/>
          <w:sz w:val="10"/>
          <w:szCs w:val="22"/>
        </w:rPr>
      </w:pPr>
    </w:p>
    <w:p w:rsidR="00071DA4" w:rsidRPr="00071DA4" w:rsidRDefault="00592FCC" w:rsidP="004E7ACD">
      <w:pPr>
        <w:pStyle w:val="ListParagraph"/>
        <w:numPr>
          <w:ilvl w:val="0"/>
          <w:numId w:val="12"/>
        </w:numPr>
        <w:rPr>
          <w:rFonts w:eastAsia="Times New Roman" w:cs="Times New Roman"/>
          <w:b/>
          <w:sz w:val="22"/>
          <w:szCs w:val="22"/>
        </w:rPr>
      </w:pPr>
      <w:r w:rsidRPr="00071DA4">
        <w:rPr>
          <w:rFonts w:eastAsia="Times New Roman" w:cs="Times New Roman"/>
          <w:b/>
          <w:sz w:val="22"/>
          <w:szCs w:val="22"/>
        </w:rPr>
        <w:t>Family Tuition Cap</w:t>
      </w:r>
      <w:r w:rsidRPr="00071DA4">
        <w:rPr>
          <w:rFonts w:eastAsia="Times New Roman" w:cs="Times New Roman"/>
          <w:sz w:val="22"/>
          <w:szCs w:val="22"/>
        </w:rPr>
        <w:t xml:space="preserve"> – The Lincoln Diocese will continue to offer the Family Tuition Cap Scholarship</w:t>
      </w:r>
      <w:r w:rsidR="00071DA4" w:rsidRPr="00071DA4">
        <w:rPr>
          <w:rFonts w:eastAsia="Times New Roman" w:cs="Times New Roman"/>
          <w:sz w:val="22"/>
          <w:szCs w:val="22"/>
        </w:rPr>
        <w:t xml:space="preserve"> ($1,300 for GS and $1,600 for HS)</w:t>
      </w:r>
      <w:r w:rsidRPr="00071DA4">
        <w:rPr>
          <w:rFonts w:eastAsia="Times New Roman" w:cs="Times New Roman"/>
          <w:sz w:val="22"/>
          <w:szCs w:val="22"/>
        </w:rPr>
        <w:t xml:space="preserve">, for families </w:t>
      </w:r>
      <w:r w:rsidR="00071DA4" w:rsidRPr="00071DA4">
        <w:rPr>
          <w:rFonts w:eastAsia="Times New Roman" w:cs="Times New Roman"/>
          <w:sz w:val="22"/>
          <w:szCs w:val="22"/>
        </w:rPr>
        <w:t xml:space="preserve">who are over 225% of the Federal Poverty Level.  Families who have </w:t>
      </w:r>
      <w:r w:rsidRPr="00071DA4">
        <w:rPr>
          <w:rFonts w:eastAsia="Times New Roman" w:cs="Times New Roman"/>
          <w:sz w:val="22"/>
          <w:szCs w:val="22"/>
        </w:rPr>
        <w:t xml:space="preserve">more than three students are eligible </w:t>
      </w:r>
      <w:r w:rsidR="00071DA4" w:rsidRPr="00071DA4">
        <w:rPr>
          <w:rFonts w:eastAsia="Times New Roman" w:cs="Times New Roman"/>
          <w:sz w:val="22"/>
          <w:szCs w:val="22"/>
        </w:rPr>
        <w:t xml:space="preserve">to apply for the Family Tuition Cap </w:t>
      </w:r>
      <w:r w:rsidRPr="00071DA4">
        <w:rPr>
          <w:rFonts w:eastAsia="Times New Roman" w:cs="Times New Roman"/>
          <w:sz w:val="22"/>
          <w:szCs w:val="22"/>
        </w:rPr>
        <w:t>scholarships</w:t>
      </w:r>
      <w:r w:rsidR="00071DA4" w:rsidRPr="00071DA4">
        <w:rPr>
          <w:rFonts w:eastAsia="Times New Roman" w:cs="Times New Roman"/>
          <w:sz w:val="22"/>
          <w:szCs w:val="22"/>
        </w:rPr>
        <w:t>,</w:t>
      </w:r>
      <w:r w:rsidRPr="00071DA4">
        <w:rPr>
          <w:rFonts w:eastAsia="Times New Roman" w:cs="Times New Roman"/>
          <w:sz w:val="22"/>
          <w:szCs w:val="22"/>
        </w:rPr>
        <w:t xml:space="preserve"> after they pay for the first three students in their family.  Your Catholic School will not charge tuition for students, after the first </w:t>
      </w:r>
      <w:proofErr w:type="gramStart"/>
      <w:r w:rsidRPr="00071DA4">
        <w:rPr>
          <w:rFonts w:eastAsia="Times New Roman" w:cs="Times New Roman"/>
          <w:sz w:val="22"/>
          <w:szCs w:val="22"/>
        </w:rPr>
        <w:t>three,</w:t>
      </w:r>
      <w:proofErr w:type="gramEnd"/>
      <w:r w:rsidRPr="00071DA4">
        <w:rPr>
          <w:rFonts w:eastAsia="Times New Roman" w:cs="Times New Roman"/>
          <w:sz w:val="22"/>
          <w:szCs w:val="22"/>
        </w:rPr>
        <w:t xml:space="preserve"> by offering a local Tuition Cap Scholarship</w:t>
      </w:r>
      <w:r w:rsidR="00327766">
        <w:rPr>
          <w:rFonts w:eastAsia="Times New Roman" w:cs="Times New Roman"/>
          <w:sz w:val="22"/>
          <w:szCs w:val="22"/>
        </w:rPr>
        <w:t xml:space="preserve"> to cover the rest of tuition </w:t>
      </w:r>
      <w:r w:rsidR="005324D0">
        <w:rPr>
          <w:rFonts w:eastAsia="Times New Roman" w:cs="Times New Roman"/>
          <w:sz w:val="22"/>
          <w:szCs w:val="22"/>
        </w:rPr>
        <w:t>(</w:t>
      </w:r>
      <w:r w:rsidR="00672C21">
        <w:rPr>
          <w:rFonts w:eastAsia="Times New Roman" w:cs="Times New Roman"/>
          <w:sz w:val="22"/>
          <w:szCs w:val="22"/>
        </w:rPr>
        <w:t xml:space="preserve">Diocesan </w:t>
      </w:r>
      <w:r w:rsidR="005324D0">
        <w:rPr>
          <w:rFonts w:eastAsia="Times New Roman" w:cs="Times New Roman"/>
          <w:sz w:val="22"/>
          <w:szCs w:val="22"/>
        </w:rPr>
        <w:t>Technology Fee is not covered)</w:t>
      </w:r>
      <w:r w:rsidR="00327766">
        <w:rPr>
          <w:rFonts w:eastAsia="Times New Roman" w:cs="Times New Roman"/>
          <w:sz w:val="22"/>
          <w:szCs w:val="22"/>
        </w:rPr>
        <w:t>.</w:t>
      </w:r>
    </w:p>
    <w:p w:rsidR="004E7ACD" w:rsidRPr="00071DA4" w:rsidRDefault="004E7ACD" w:rsidP="004E7ACD">
      <w:pPr>
        <w:pStyle w:val="ListParagraph"/>
        <w:numPr>
          <w:ilvl w:val="0"/>
          <w:numId w:val="12"/>
        </w:numPr>
        <w:rPr>
          <w:rFonts w:eastAsia="Times New Roman" w:cs="Times New Roman"/>
          <w:b/>
          <w:sz w:val="22"/>
          <w:szCs w:val="22"/>
        </w:rPr>
      </w:pPr>
      <w:r w:rsidRPr="00071DA4">
        <w:rPr>
          <w:rFonts w:eastAsia="Times New Roman" w:cs="Times New Roman"/>
          <w:b/>
          <w:sz w:val="22"/>
          <w:szCs w:val="22"/>
        </w:rPr>
        <w:t xml:space="preserve">FACTS Scholarship Management - </w:t>
      </w:r>
      <w:r w:rsidRPr="00071DA4">
        <w:rPr>
          <w:rFonts w:eastAsia="Times New Roman" w:cs="Times New Roman"/>
          <w:sz w:val="22"/>
          <w:szCs w:val="22"/>
        </w:rPr>
        <w:t>The Diocese has reduced the number of questions in FACTS, to streamline the application for most parents.  Some schools may still require additional questions for their local scholarships.</w:t>
      </w:r>
    </w:p>
    <w:p w:rsidR="00B26255" w:rsidRPr="00100763" w:rsidRDefault="00B26255" w:rsidP="00932F41">
      <w:pPr>
        <w:spacing w:after="160" w:line="259" w:lineRule="auto"/>
        <w:rPr>
          <w:rFonts w:cs="Arial"/>
          <w:b/>
          <w:i/>
          <w:color w:val="191919" w:themeColor="text1" w:themeTint="E6"/>
          <w:sz w:val="2"/>
        </w:rPr>
      </w:pPr>
    </w:p>
    <w:sectPr w:rsidR="00B26255" w:rsidRPr="00100763" w:rsidSect="007451B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AD3"/>
    <w:multiLevelType w:val="hybridMultilevel"/>
    <w:tmpl w:val="738AE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1C"/>
    <w:multiLevelType w:val="hybridMultilevel"/>
    <w:tmpl w:val="48FA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C98"/>
    <w:multiLevelType w:val="hybridMultilevel"/>
    <w:tmpl w:val="6F28E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547F"/>
    <w:multiLevelType w:val="hybridMultilevel"/>
    <w:tmpl w:val="AB70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3478"/>
    <w:multiLevelType w:val="hybridMultilevel"/>
    <w:tmpl w:val="1F4C2F62"/>
    <w:lvl w:ilvl="0" w:tplc="6ADCF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FC1"/>
    <w:multiLevelType w:val="hybridMultilevel"/>
    <w:tmpl w:val="CBC4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7847"/>
    <w:multiLevelType w:val="hybridMultilevel"/>
    <w:tmpl w:val="282A2E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8F738B"/>
    <w:multiLevelType w:val="hybridMultilevel"/>
    <w:tmpl w:val="63F41C5A"/>
    <w:lvl w:ilvl="0" w:tplc="6ADCF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4E05"/>
    <w:multiLevelType w:val="hybridMultilevel"/>
    <w:tmpl w:val="744E6410"/>
    <w:lvl w:ilvl="0" w:tplc="2676D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A37DF"/>
    <w:multiLevelType w:val="hybridMultilevel"/>
    <w:tmpl w:val="32703BDA"/>
    <w:lvl w:ilvl="0" w:tplc="7AF6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6782"/>
    <w:multiLevelType w:val="hybridMultilevel"/>
    <w:tmpl w:val="EF5E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66431"/>
    <w:multiLevelType w:val="hybridMultilevel"/>
    <w:tmpl w:val="7D48B764"/>
    <w:lvl w:ilvl="0" w:tplc="7AF6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7B7"/>
    <w:multiLevelType w:val="hybridMultilevel"/>
    <w:tmpl w:val="B9DCBF84"/>
    <w:lvl w:ilvl="0" w:tplc="6ADCF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75F8"/>
    <w:multiLevelType w:val="hybridMultilevel"/>
    <w:tmpl w:val="774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888"/>
    <w:multiLevelType w:val="hybridMultilevel"/>
    <w:tmpl w:val="F44A4C1E"/>
    <w:lvl w:ilvl="0" w:tplc="7AF6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83768"/>
    <w:multiLevelType w:val="hybridMultilevel"/>
    <w:tmpl w:val="BC9E94CC"/>
    <w:lvl w:ilvl="0" w:tplc="6ADCF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849CC"/>
    <w:multiLevelType w:val="hybridMultilevel"/>
    <w:tmpl w:val="C95EA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E7932"/>
    <w:multiLevelType w:val="hybridMultilevel"/>
    <w:tmpl w:val="A41E7FA6"/>
    <w:lvl w:ilvl="0" w:tplc="7AF6C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A9"/>
    <w:rsid w:val="00021F02"/>
    <w:rsid w:val="00062DA9"/>
    <w:rsid w:val="000650D4"/>
    <w:rsid w:val="00071DA4"/>
    <w:rsid w:val="00082DBF"/>
    <w:rsid w:val="00100763"/>
    <w:rsid w:val="00122949"/>
    <w:rsid w:val="001D5BB9"/>
    <w:rsid w:val="00226739"/>
    <w:rsid w:val="00280F02"/>
    <w:rsid w:val="002E001F"/>
    <w:rsid w:val="00327766"/>
    <w:rsid w:val="00352710"/>
    <w:rsid w:val="004457B6"/>
    <w:rsid w:val="004B493F"/>
    <w:rsid w:val="004D33DF"/>
    <w:rsid w:val="004E1439"/>
    <w:rsid w:val="004E7ACD"/>
    <w:rsid w:val="005324D0"/>
    <w:rsid w:val="00592FCC"/>
    <w:rsid w:val="005C6985"/>
    <w:rsid w:val="00672C21"/>
    <w:rsid w:val="006C5CB5"/>
    <w:rsid w:val="006F2962"/>
    <w:rsid w:val="007451BE"/>
    <w:rsid w:val="00775DF7"/>
    <w:rsid w:val="0078155C"/>
    <w:rsid w:val="007A4E8F"/>
    <w:rsid w:val="00860FF2"/>
    <w:rsid w:val="00886943"/>
    <w:rsid w:val="008A0B9A"/>
    <w:rsid w:val="008D022D"/>
    <w:rsid w:val="00932F41"/>
    <w:rsid w:val="009B775B"/>
    <w:rsid w:val="009C6957"/>
    <w:rsid w:val="009F30C8"/>
    <w:rsid w:val="00AB743B"/>
    <w:rsid w:val="00AD6642"/>
    <w:rsid w:val="00AE34E8"/>
    <w:rsid w:val="00B26255"/>
    <w:rsid w:val="00B36FAA"/>
    <w:rsid w:val="00BE687E"/>
    <w:rsid w:val="00C00F12"/>
    <w:rsid w:val="00CF0B44"/>
    <w:rsid w:val="00D2182D"/>
    <w:rsid w:val="00D71546"/>
    <w:rsid w:val="00DC4008"/>
    <w:rsid w:val="00DD1DBB"/>
    <w:rsid w:val="00DF4832"/>
    <w:rsid w:val="00E763B8"/>
    <w:rsid w:val="00EE642A"/>
    <w:rsid w:val="00F067C2"/>
    <w:rsid w:val="00F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E635A-47F3-4331-8C6E-08180A33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4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8A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- HP</dc:creator>
  <cp:lastModifiedBy>Linda Monahan</cp:lastModifiedBy>
  <cp:revision>2</cp:revision>
  <cp:lastPrinted>2020-01-05T16:24:00Z</cp:lastPrinted>
  <dcterms:created xsi:type="dcterms:W3CDTF">2020-01-20T19:47:00Z</dcterms:created>
  <dcterms:modified xsi:type="dcterms:W3CDTF">2020-01-20T19:47:00Z</dcterms:modified>
</cp:coreProperties>
</file>